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0"/>
        <w:ind w:left="4740" w:right="0" w:firstLine="0"/>
        <w:jc w:val="left"/>
        <w:rPr>
          <w:sz w:val="54"/>
        </w:rPr>
      </w:pPr>
      <w:r>
        <w:rPr>
          <w:sz w:val="54"/>
        </w:rPr>
        <w:t>加油站风险管理</w:t>
      </w:r>
    </w:p>
    <w:p>
      <w:pPr>
        <w:pStyle w:val="Heading1"/>
        <w:spacing w:before="148"/>
        <w:ind w:left="560" w:firstLine="0"/>
      </w:pPr>
      <w:r>
        <w:rPr/>
        <w:t>引言</w:t>
      </w:r>
    </w:p>
    <w:p>
      <w:pPr>
        <w:pStyle w:val="BodyText"/>
        <w:spacing w:line="300" w:lineRule="auto" w:before="142"/>
        <w:ind w:left="100" w:right="1779" w:firstLine="780"/>
        <w:jc w:val="both"/>
      </w:pPr>
      <w:r>
        <w:rPr/>
        <w:t>在加油站经营管理工作中，不可避免地面临着各种各样的风险，为了规避这些风险，通常首先是对加油站进行风险辨识，然后给予风险评估，再采取风险控制措施， 清除隐患。风险管理是加油站安全工作的重要主题，是确保加油站安全平稳运营的基础性工作，是加油站运营、发展必须要解决的重大事项。因此，加油站风险管理显得尤为重要</w:t>
      </w:r>
    </w:p>
    <w:p>
      <w:pPr>
        <w:pStyle w:val="Heading1"/>
        <w:tabs>
          <w:tab w:pos="999" w:val="left" w:leader="none"/>
        </w:tabs>
        <w:spacing w:line="535" w:lineRule="exact"/>
        <w:ind w:left="333" w:firstLine="0"/>
      </w:pPr>
      <w:r>
        <w:rPr>
          <w:rFonts w:ascii="Arial" w:eastAsia="Arial"/>
        </w:rPr>
        <w:t>1</w:t>
        <w:tab/>
      </w:r>
      <w:r>
        <w:rPr/>
        <w:t>概述及相关概念</w:t>
      </w:r>
    </w:p>
    <w:p>
      <w:pPr>
        <w:pStyle w:val="BodyText"/>
        <w:tabs>
          <w:tab w:pos="1639" w:val="left" w:leader="none"/>
        </w:tabs>
        <w:spacing w:line="302" w:lineRule="auto" w:before="122"/>
        <w:ind w:left="100" w:right="1739" w:firstLine="400"/>
      </w:pPr>
      <w:r>
        <w:rPr>
          <w:rFonts w:ascii="Arial" w:eastAsia="Arial"/>
        </w:rPr>
        <w:t>1.1</w:t>
        <w:tab/>
      </w:r>
      <w:r>
        <w:rPr/>
        <w:t>风险是指某一特定危害因素发生事故的可能性和所引发事故后果严重性的组合。</w:t>
      </w:r>
    </w:p>
    <w:p>
      <w:pPr>
        <w:pStyle w:val="BodyText"/>
        <w:spacing w:before="20"/>
        <w:ind w:left="500"/>
        <w:rPr>
          <w:rFonts w:ascii="Arial"/>
        </w:rPr>
      </w:pPr>
      <w:r>
        <w:rPr>
          <w:rFonts w:ascii="Arial"/>
        </w:rPr>
        <w:t>R=C*S</w:t>
      </w:r>
    </w:p>
    <w:p>
      <w:pPr>
        <w:pStyle w:val="BodyText"/>
        <w:tabs>
          <w:tab w:pos="1059" w:val="left" w:leader="none"/>
        </w:tabs>
        <w:spacing w:before="143"/>
        <w:ind w:left="500"/>
      </w:pPr>
      <w:r>
        <w:rPr>
          <w:rFonts w:ascii="Arial" w:eastAsia="Arial"/>
        </w:rPr>
        <w:t>R</w:t>
        <w:tab/>
      </w:r>
      <w:r>
        <w:rPr/>
        <w:t>：是指风险；</w:t>
      </w:r>
    </w:p>
    <w:p>
      <w:pPr>
        <w:pStyle w:val="BodyText"/>
        <w:spacing w:before="119"/>
        <w:ind w:left="880"/>
      </w:pPr>
      <w:r>
        <w:rPr/>
        <w:t>可能性（</w:t>
      </w:r>
      <w:r>
        <w:rPr>
          <w:spacing w:val="-80"/>
        </w:rPr>
        <w:t> </w:t>
      </w:r>
      <w:r>
        <w:rPr>
          <w:rFonts w:ascii="Arial" w:eastAsia="Arial"/>
          <w:spacing w:val="-20"/>
        </w:rPr>
        <w:t>C</w:t>
      </w:r>
      <w:r>
        <w:rPr>
          <w:spacing w:val="-20"/>
        </w:rPr>
        <w:t>）：</w:t>
      </w:r>
      <w:r>
        <w:rPr/>
        <w:t>是指导致事故发生的难易程度；</w:t>
      </w:r>
    </w:p>
    <w:p>
      <w:pPr>
        <w:pStyle w:val="BodyText"/>
        <w:spacing w:before="119"/>
        <w:ind w:left="880"/>
      </w:pPr>
      <w:r>
        <w:rPr/>
        <w:t>严重性（</w:t>
      </w:r>
      <w:r>
        <w:rPr>
          <w:spacing w:val="-80"/>
        </w:rPr>
        <w:t> </w:t>
      </w:r>
      <w:r>
        <w:rPr>
          <w:rFonts w:ascii="Arial" w:eastAsia="Arial"/>
          <w:spacing w:val="-14"/>
        </w:rPr>
        <w:t>S</w:t>
      </w:r>
      <w:r>
        <w:rPr>
          <w:spacing w:val="-14"/>
        </w:rPr>
        <w:t>）：</w:t>
      </w:r>
      <w:r>
        <w:rPr/>
        <w:t>是指事故发生后能够带来多大的人员伤亡、环境破坏或财产损失等。</w:t>
      </w:r>
    </w:p>
    <w:p>
      <w:pPr>
        <w:pStyle w:val="ListParagraph"/>
        <w:numPr>
          <w:ilvl w:val="1"/>
          <w:numId w:val="1"/>
        </w:numPr>
        <w:tabs>
          <w:tab w:pos="1639" w:val="left" w:leader="none"/>
          <w:tab w:pos="1640" w:val="left" w:leader="none"/>
        </w:tabs>
        <w:spacing w:line="240" w:lineRule="auto" w:before="79" w:after="0"/>
        <w:ind w:left="1640" w:right="0" w:hanging="1140"/>
        <w:jc w:val="left"/>
        <w:rPr>
          <w:sz w:val="36"/>
        </w:rPr>
      </w:pPr>
      <w:r>
        <w:rPr>
          <w:sz w:val="36"/>
        </w:rPr>
        <w:t>相关概念</w:t>
      </w:r>
    </w:p>
    <w:p>
      <w:pPr>
        <w:pStyle w:val="ListParagraph"/>
        <w:numPr>
          <w:ilvl w:val="2"/>
          <w:numId w:val="1"/>
        </w:numPr>
        <w:tabs>
          <w:tab w:pos="2039" w:val="left" w:leader="none"/>
          <w:tab w:pos="2040" w:val="left" w:leader="none"/>
        </w:tabs>
        <w:spacing w:line="240" w:lineRule="auto" w:before="118" w:after="0"/>
        <w:ind w:left="2040" w:right="0" w:hanging="1540"/>
        <w:jc w:val="left"/>
        <w:rPr>
          <w:sz w:val="36"/>
        </w:rPr>
      </w:pPr>
      <w:r>
        <w:rPr>
          <w:sz w:val="36"/>
        </w:rPr>
        <w:t>危害因素</w:t>
      </w:r>
    </w:p>
    <w:p>
      <w:pPr>
        <w:pStyle w:val="BodyText"/>
        <w:spacing w:before="119"/>
        <w:ind w:left="880"/>
      </w:pPr>
      <w:r>
        <w:rPr/>
        <w:t>危险因素是指能对人造成伤亡或对物造成突发性损害的因素；</w:t>
      </w:r>
    </w:p>
    <w:p>
      <w:pPr>
        <w:pStyle w:val="BodyText"/>
        <w:spacing w:line="302" w:lineRule="auto" w:before="119"/>
        <w:ind w:left="880" w:right="1779"/>
      </w:pPr>
      <w:r>
        <w:rPr/>
        <w:t>有害因素是指能影响人的身体健康，导致疾病，或对物造成慢性损害的因素。 通常情况下，二者并不加以区分而统称危害因素，主要指客观存在的危害因素物</w:t>
      </w:r>
    </w:p>
    <w:p>
      <w:pPr>
        <w:pStyle w:val="BodyText"/>
        <w:spacing w:line="459" w:lineRule="exact"/>
        <w:ind w:left="100"/>
      </w:pPr>
      <w:r>
        <w:rPr/>
        <w:t>质或能量超过临界值的设备、设施和场所等。</w:t>
      </w:r>
    </w:p>
    <w:p>
      <w:pPr>
        <w:pStyle w:val="ListParagraph"/>
        <w:numPr>
          <w:ilvl w:val="2"/>
          <w:numId w:val="1"/>
        </w:numPr>
        <w:tabs>
          <w:tab w:pos="2039" w:val="left" w:leader="none"/>
          <w:tab w:pos="2040" w:val="left" w:leader="none"/>
        </w:tabs>
        <w:spacing w:line="240" w:lineRule="auto" w:before="119" w:after="0"/>
        <w:ind w:left="2040" w:right="0" w:hanging="1540"/>
        <w:jc w:val="left"/>
        <w:rPr>
          <w:sz w:val="36"/>
        </w:rPr>
      </w:pPr>
      <w:r>
        <w:rPr>
          <w:sz w:val="36"/>
        </w:rPr>
        <w:t>风险评价</w:t>
      </w:r>
    </w:p>
    <w:p>
      <w:pPr>
        <w:pStyle w:val="BodyText"/>
        <w:spacing w:line="302" w:lineRule="auto" w:before="98"/>
        <w:ind w:left="100" w:right="1419" w:firstLine="780"/>
      </w:pPr>
      <w:r>
        <w:rPr/>
        <w:t>风险评价也称危险评价或安全评价，是对系统存在的危险性进行定性和定量分析，依据现存的专业经验、评价标准和准则，对危害分析结果得出系统发生危险的可能性 及其后果严重程度的评价，通过评价寻求最低事故率、最少的损失和最有的安全投资 效益。</w:t>
      </w:r>
    </w:p>
    <w:p>
      <w:pPr>
        <w:pStyle w:val="Heading1"/>
        <w:numPr>
          <w:ilvl w:val="0"/>
          <w:numId w:val="1"/>
        </w:numPr>
        <w:tabs>
          <w:tab w:pos="999" w:val="left" w:leader="none"/>
          <w:tab w:pos="1000" w:val="left" w:leader="none"/>
        </w:tabs>
        <w:spacing w:line="533" w:lineRule="exact" w:before="0" w:after="0"/>
        <w:ind w:left="1000" w:right="0" w:hanging="667"/>
        <w:jc w:val="left"/>
        <w:rPr>
          <w:rFonts w:ascii="Arial" w:eastAsia="Arial"/>
        </w:rPr>
      </w:pPr>
      <w:r>
        <w:rPr/>
        <w:t>危害因素辨识</w:t>
      </w:r>
    </w:p>
    <w:p>
      <w:pPr>
        <w:pStyle w:val="ListParagraph"/>
        <w:numPr>
          <w:ilvl w:val="1"/>
          <w:numId w:val="2"/>
        </w:numPr>
        <w:tabs>
          <w:tab w:pos="1639" w:val="left" w:leader="none"/>
          <w:tab w:pos="1640" w:val="left" w:leader="none"/>
        </w:tabs>
        <w:spacing w:line="240" w:lineRule="auto" w:before="122" w:after="0"/>
        <w:ind w:left="1640" w:right="0" w:hanging="1140"/>
        <w:jc w:val="left"/>
        <w:rPr>
          <w:sz w:val="36"/>
        </w:rPr>
      </w:pPr>
      <w:r>
        <w:rPr>
          <w:sz w:val="36"/>
        </w:rPr>
        <w:t>概述</w:t>
      </w:r>
    </w:p>
    <w:p>
      <w:pPr>
        <w:pStyle w:val="BodyText"/>
        <w:spacing w:line="302" w:lineRule="auto" w:before="119"/>
        <w:ind w:left="100" w:right="1779" w:firstLine="780"/>
      </w:pPr>
      <w:r>
        <w:rPr/>
        <w:t>加油站作为基层经营场所，所面临的主要危害因素包括人员、机器设备、法律法规、环境、物料等具体活动。</w:t>
      </w:r>
    </w:p>
    <w:p>
      <w:pPr>
        <w:pStyle w:val="ListParagraph"/>
        <w:numPr>
          <w:ilvl w:val="1"/>
          <w:numId w:val="2"/>
        </w:numPr>
        <w:tabs>
          <w:tab w:pos="1639" w:val="left" w:leader="none"/>
          <w:tab w:pos="1640" w:val="left" w:leader="none"/>
        </w:tabs>
        <w:spacing w:line="459" w:lineRule="exact" w:before="0" w:after="0"/>
        <w:ind w:left="1640" w:right="0" w:hanging="1140"/>
        <w:jc w:val="left"/>
        <w:rPr>
          <w:sz w:val="36"/>
        </w:rPr>
      </w:pPr>
      <w:r>
        <w:rPr>
          <w:sz w:val="36"/>
        </w:rPr>
        <w:t>危害因素识别分类</w:t>
      </w:r>
    </w:p>
    <w:p>
      <w:pPr>
        <w:pStyle w:val="BodyText"/>
        <w:spacing w:before="119"/>
        <w:ind w:left="880"/>
      </w:pPr>
      <w:r>
        <w:rPr/>
        <w:t>加油站的危害因素识别主要包括四大类：危害因素识别、重大危害因素识别，环</w:t>
      </w:r>
    </w:p>
    <w:p>
      <w:pPr>
        <w:spacing w:after="0"/>
        <w:sectPr>
          <w:type w:val="continuous"/>
          <w:pgSz w:w="19680" w:h="25480"/>
          <w:pgMar w:top="2400" w:bottom="280" w:left="2140" w:right="2280"/>
        </w:sectPr>
      </w:pPr>
    </w:p>
    <w:p>
      <w:pPr>
        <w:pStyle w:val="BodyText"/>
        <w:spacing w:before="20"/>
        <w:ind w:left="100"/>
      </w:pPr>
      <w:r>
        <w:rPr/>
        <w:t>境因素识别和重要环境因素识别。</w:t>
      </w:r>
    </w:p>
    <w:p>
      <w:pPr>
        <w:pStyle w:val="ListParagraph"/>
        <w:numPr>
          <w:ilvl w:val="2"/>
          <w:numId w:val="2"/>
        </w:numPr>
        <w:tabs>
          <w:tab w:pos="2039" w:val="left" w:leader="none"/>
          <w:tab w:pos="2040" w:val="left" w:leader="none"/>
        </w:tabs>
        <w:spacing w:line="240" w:lineRule="auto" w:before="98" w:after="0"/>
        <w:ind w:left="2040" w:right="0" w:hanging="1540"/>
        <w:jc w:val="left"/>
        <w:rPr>
          <w:sz w:val="36"/>
        </w:rPr>
      </w:pPr>
      <w:r>
        <w:rPr>
          <w:sz w:val="36"/>
        </w:rPr>
        <w:t>危害因素识别</w:t>
      </w:r>
    </w:p>
    <w:p>
      <w:pPr>
        <w:pStyle w:val="BodyText"/>
        <w:spacing w:line="302" w:lineRule="auto" w:before="119"/>
        <w:ind w:left="100" w:right="1779" w:firstLine="780"/>
      </w:pPr>
      <w:r>
        <w:rPr/>
        <w:t>加油站的作业活动中，危害因素识别主要是接卸油作业、加油现场作业以及设备维修施工等作业。</w:t>
      </w:r>
    </w:p>
    <w:p>
      <w:pPr>
        <w:pStyle w:val="BodyText"/>
        <w:spacing w:line="459" w:lineRule="exact"/>
        <w:ind w:left="880"/>
      </w:pPr>
      <w:r>
        <w:rPr/>
        <w:t>接卸油作业中的危害因素包括喷溅式卸油，在卸油过程中，可能存在接卸油管线</w:t>
      </w:r>
    </w:p>
    <w:p>
      <w:pPr>
        <w:pStyle w:val="BodyText"/>
        <w:tabs>
          <w:tab w:pos="12559" w:val="left" w:leader="none"/>
        </w:tabs>
        <w:spacing w:line="290" w:lineRule="auto" w:before="119"/>
        <w:ind w:left="100" w:right="779"/>
      </w:pPr>
      <w:r>
        <w:rPr/>
        <w:t>未连接好，导致卸油过程中，油品喷溅；油罐车到站之后，静止时间未有</w:t>
        <w:tab/>
      </w:r>
      <w:r>
        <w:rPr>
          <w:rFonts w:ascii="Arial" w:eastAsia="Arial"/>
        </w:rPr>
        <w:t>15</w:t>
      </w:r>
      <w:r>
        <w:rPr>
          <w:rFonts w:ascii="Arial" w:eastAsia="Arial"/>
          <w:spacing w:val="-22"/>
        </w:rPr>
        <w:t> </w:t>
      </w:r>
      <w:r>
        <w:rPr/>
        <w:t>分钟，或者静电释放不全，就直接卸油，导致火灾、人身伤亡的风险；卸油时，卸油口阀门开</w:t>
      </w:r>
    </w:p>
    <w:p>
      <w:pPr>
        <w:pStyle w:val="BodyText"/>
        <w:tabs>
          <w:tab w:pos="7059" w:val="left" w:leader="none"/>
        </w:tabs>
        <w:spacing w:line="302" w:lineRule="auto" w:before="24"/>
        <w:ind w:left="100" w:right="779"/>
      </w:pPr>
      <w:r>
        <w:rPr/>
        <w:t>启错误，出现油罐混油，造成财产损失。</w:t>
        <w:tab/>
      </w:r>
      <w:r>
        <w:rPr>
          <w:rFonts w:ascii="Arial" w:eastAsia="Arial"/>
        </w:rPr>
        <w:t>2001</w:t>
      </w:r>
      <w:r>
        <w:rPr>
          <w:rFonts w:ascii="Arial" w:eastAsia="Arial"/>
          <w:spacing w:val="-22"/>
        </w:rPr>
        <w:t> </w:t>
      </w:r>
      <w:r>
        <w:rPr/>
        <w:t>年</w:t>
      </w:r>
      <w:r>
        <w:rPr>
          <w:spacing w:val="-81"/>
        </w:rPr>
        <w:t> </w:t>
      </w:r>
      <w:r>
        <w:rPr>
          <w:rFonts w:ascii="Arial" w:eastAsia="Arial"/>
        </w:rPr>
        <w:t>6</w:t>
      </w:r>
      <w:r>
        <w:rPr>
          <w:rFonts w:ascii="Arial" w:eastAsia="Arial"/>
          <w:spacing w:val="-2"/>
        </w:rPr>
        <w:t> </w:t>
      </w:r>
      <w:r>
        <w:rPr/>
        <w:t>月</w:t>
      </w:r>
      <w:r>
        <w:rPr>
          <w:spacing w:val="-61"/>
        </w:rPr>
        <w:t> </w:t>
      </w:r>
      <w:r>
        <w:rPr>
          <w:rFonts w:ascii="Arial" w:eastAsia="Arial"/>
        </w:rPr>
        <w:t>22</w:t>
      </w:r>
      <w:r>
        <w:rPr>
          <w:rFonts w:ascii="Arial" w:eastAsia="Arial"/>
          <w:spacing w:val="-2"/>
        </w:rPr>
        <w:t> </w:t>
      </w:r>
      <w:r>
        <w:rPr/>
        <w:t>日</w:t>
      </w:r>
      <w:r>
        <w:rPr>
          <w:spacing w:val="-81"/>
        </w:rPr>
        <w:t> </w:t>
      </w:r>
      <w:r>
        <w:rPr>
          <w:rFonts w:ascii="Arial" w:eastAsia="Arial"/>
        </w:rPr>
        <w:t>21</w:t>
      </w:r>
      <w:r>
        <w:rPr>
          <w:rFonts w:ascii="Arial" w:eastAsia="Arial"/>
          <w:spacing w:val="-2"/>
        </w:rPr>
        <w:t> </w:t>
      </w:r>
      <w:r>
        <w:rPr/>
        <w:t>时</w:t>
      </w:r>
      <w:r>
        <w:rPr>
          <w:spacing w:val="-81"/>
        </w:rPr>
        <w:t> </w:t>
      </w:r>
      <w:r>
        <w:rPr>
          <w:rFonts w:ascii="Arial" w:eastAsia="Arial"/>
        </w:rPr>
        <w:t>45</w:t>
      </w:r>
      <w:r>
        <w:rPr>
          <w:rFonts w:ascii="Arial" w:eastAsia="Arial"/>
          <w:spacing w:val="-2"/>
        </w:rPr>
        <w:t> </w:t>
      </w:r>
      <w:r>
        <w:rPr/>
        <w:t>分，广州韶关加油站在</w:t>
      </w:r>
      <w:r>
        <w:rPr>
          <w:spacing w:val="40"/>
        </w:rPr>
        <w:t> </w:t>
      </w:r>
      <w:r>
        <w:rPr>
          <w:rFonts w:ascii="Arial" w:eastAsia="Arial"/>
        </w:rPr>
        <w:t>3</w:t>
      </w:r>
      <w:r>
        <w:rPr>
          <w:rFonts w:ascii="Arial" w:eastAsia="Arial"/>
          <w:spacing w:val="38"/>
        </w:rPr>
        <w:t> </w:t>
      </w:r>
      <w:r>
        <w:rPr/>
        <w:t>号罐接卸一车</w:t>
      </w:r>
      <w:r>
        <w:rPr>
          <w:spacing w:val="140"/>
        </w:rPr>
        <w:t> </w:t>
      </w:r>
      <w:r>
        <w:rPr>
          <w:rFonts w:ascii="Arial" w:eastAsia="Arial"/>
        </w:rPr>
        <w:t>97</w:t>
      </w:r>
      <w:r>
        <w:rPr>
          <w:rFonts w:ascii="Arial" w:eastAsia="Arial"/>
          <w:spacing w:val="38"/>
        </w:rPr>
        <w:t> </w:t>
      </w:r>
      <w:r>
        <w:rPr/>
        <w:t>号汽油时，计量员林某违章将卸油胶管插到量油孔卸油。卸油过程中，汽油从罐中溢出，遇火源引起着火。油罐司机见势不好，关闭卸油阀门，扯</w:t>
      </w:r>
    </w:p>
    <w:p>
      <w:pPr>
        <w:pStyle w:val="BodyText"/>
        <w:tabs>
          <w:tab w:pos="7159" w:val="left" w:leader="none"/>
          <w:tab w:pos="9479" w:val="left" w:leader="none"/>
        </w:tabs>
        <w:spacing w:line="302" w:lineRule="auto"/>
        <w:ind w:left="100" w:right="1299"/>
      </w:pPr>
      <w:r>
        <w:rPr/>
        <w:t>断卸油胶管接头后开车离开现场。大火于</w:t>
        <w:tab/>
      </w:r>
      <w:r>
        <w:rPr>
          <w:rFonts w:ascii="Arial" w:eastAsia="Arial"/>
        </w:rPr>
        <w:t>23</w:t>
      </w:r>
      <w:r>
        <w:rPr>
          <w:rFonts w:ascii="Arial" w:eastAsia="Arial"/>
          <w:spacing w:val="-22"/>
        </w:rPr>
        <w:t> </w:t>
      </w:r>
      <w:r>
        <w:rPr/>
        <w:t>日时被扑灭。事故中，</w:t>
      </w:r>
      <w:r>
        <w:rPr>
          <w:spacing w:val="78"/>
        </w:rPr>
        <w:t> </w:t>
      </w:r>
      <w:r>
        <w:rPr>
          <w:rFonts w:ascii="Arial" w:eastAsia="Arial"/>
        </w:rPr>
        <w:t>4</w:t>
      </w:r>
      <w:r>
        <w:rPr>
          <w:rFonts w:ascii="Arial" w:eastAsia="Arial"/>
          <w:spacing w:val="-2"/>
        </w:rPr>
        <w:t> </w:t>
      </w:r>
      <w:r>
        <w:rPr/>
        <w:t>台加油机及油罐等设施被烧坏，计量员林某被烧成重伤，烧伤面积达</w:t>
        <w:tab/>
      </w:r>
      <w:r>
        <w:rPr>
          <w:rFonts w:ascii="Arial" w:eastAsia="Arial"/>
          <w:spacing w:val="-48"/>
        </w:rPr>
        <w:t>80%</w:t>
      </w:r>
      <w:r>
        <w:rPr/>
        <w:t>以上。</w:t>
      </w:r>
    </w:p>
    <w:p>
      <w:pPr>
        <w:pStyle w:val="BodyText"/>
        <w:spacing w:line="439" w:lineRule="exact"/>
        <w:ind w:left="880"/>
      </w:pPr>
      <w:r>
        <w:rPr/>
        <w:t>加油现场作业包括车辆未熄火加油，在车辆进站之后，还未熄火，加油员为其加</w:t>
      </w:r>
    </w:p>
    <w:p>
      <w:pPr>
        <w:pStyle w:val="BodyText"/>
        <w:spacing w:line="302" w:lineRule="auto" w:before="115"/>
        <w:ind w:left="100" w:right="1839"/>
      </w:pPr>
      <w:r>
        <w:rPr/>
        <w:t>油；加油现场有人使用手机，现场员工未进行阻止；加油现场有人吸烟，现场员工未及时制止等作业活动。</w:t>
      </w:r>
    </w:p>
    <w:p>
      <w:pPr>
        <w:pStyle w:val="BodyText"/>
        <w:spacing w:line="302" w:lineRule="auto"/>
        <w:ind w:left="100" w:right="1779" w:firstLine="780"/>
      </w:pPr>
      <w:r>
        <w:rPr/>
        <w:t>设备维修施工作业包括违章动火作业，违章带电作业，未设置监护人以及使用非防爆工具等作业活动，也会造成人身伤亡和财产损失等后果。</w:t>
      </w:r>
    </w:p>
    <w:p>
      <w:pPr>
        <w:pStyle w:val="ListParagraph"/>
        <w:numPr>
          <w:ilvl w:val="2"/>
          <w:numId w:val="2"/>
        </w:numPr>
        <w:tabs>
          <w:tab w:pos="2219" w:val="left" w:leader="none"/>
          <w:tab w:pos="2220" w:val="left" w:leader="none"/>
        </w:tabs>
        <w:spacing w:line="459" w:lineRule="exact" w:before="0" w:after="0"/>
        <w:ind w:left="2220" w:right="0" w:hanging="1720"/>
        <w:jc w:val="left"/>
        <w:rPr>
          <w:sz w:val="36"/>
        </w:rPr>
      </w:pPr>
      <w:r>
        <w:rPr>
          <w:sz w:val="36"/>
        </w:rPr>
        <w:t>重大危害因素识别</w:t>
      </w:r>
    </w:p>
    <w:p>
      <w:pPr>
        <w:pStyle w:val="BodyText"/>
        <w:spacing w:line="297" w:lineRule="auto" w:before="116"/>
        <w:ind w:left="100" w:right="1533" w:firstLine="780"/>
      </w:pPr>
      <w:r>
        <w:rPr/>
        <w:t>加油站的重大危害因素包括遭遇抢劫，初期火灾未扑灭以及设备维修过程中，进入油罐作业，未进行氧气置换，氮气清洗，导致中毒，油罐区动火施工等作业活动。</w:t>
      </w:r>
      <w:r>
        <w:rPr>
          <w:spacing w:val="-41"/>
        </w:rPr>
        <w:t>如： </w:t>
      </w:r>
      <w:r>
        <w:rPr>
          <w:rFonts w:ascii="Arial" w:eastAsia="Arial"/>
        </w:rPr>
        <w:t>2013 </w:t>
      </w:r>
      <w:r>
        <w:rPr>
          <w:spacing w:val="-14"/>
        </w:rPr>
        <w:t>年月 </w:t>
      </w:r>
      <w:r>
        <w:rPr>
          <w:rFonts w:ascii="Arial" w:eastAsia="Arial"/>
        </w:rPr>
        <w:t>28 </w:t>
      </w:r>
      <w:r>
        <w:rPr>
          <w:spacing w:val="-31"/>
        </w:rPr>
        <w:t>日 </w:t>
      </w:r>
      <w:r>
        <w:rPr>
          <w:rFonts w:ascii="Arial" w:eastAsia="Arial"/>
        </w:rPr>
        <w:t>10 </w:t>
      </w:r>
      <w:r>
        <w:rPr>
          <w:spacing w:val="-41"/>
        </w:rPr>
        <w:t>时 </w:t>
      </w:r>
      <w:r>
        <w:rPr>
          <w:rFonts w:ascii="Arial" w:eastAsia="Arial"/>
        </w:rPr>
        <w:t>45 </w:t>
      </w:r>
      <w:r>
        <w:rPr/>
        <w:t>分许，湘潭市岳塘区荷塘乡清水村石灰组一在建民房院</w:t>
      </w:r>
    </w:p>
    <w:p>
      <w:pPr>
        <w:pStyle w:val="BodyText"/>
        <w:tabs>
          <w:tab w:pos="2919" w:val="left" w:leader="none"/>
          <w:tab w:pos="10259" w:val="left" w:leader="none"/>
        </w:tabs>
        <w:spacing w:line="302" w:lineRule="auto" w:before="4"/>
        <w:ind w:left="100" w:right="879"/>
      </w:pPr>
      <w:r>
        <w:rPr/>
        <w:t>内，因私人非法焊接安装储油罐，发生爆炸并起火。至中午</w:t>
        <w:tab/>
      </w:r>
      <w:r>
        <w:rPr>
          <w:rFonts w:ascii="Arial" w:eastAsia="Arial"/>
        </w:rPr>
        <w:t>1</w:t>
      </w:r>
      <w:r>
        <w:rPr>
          <w:rFonts w:ascii="Arial" w:eastAsia="Arial"/>
          <w:spacing w:val="-22"/>
        </w:rPr>
        <w:t> </w:t>
      </w:r>
      <w:r>
        <w:rPr/>
        <w:t>点</w:t>
      </w:r>
      <w:r>
        <w:rPr>
          <w:spacing w:val="-61"/>
        </w:rPr>
        <w:t> </w:t>
      </w:r>
      <w:r>
        <w:rPr>
          <w:rFonts w:ascii="Arial" w:eastAsia="Arial"/>
        </w:rPr>
        <w:t>11</w:t>
      </w:r>
      <w:r>
        <w:rPr>
          <w:rFonts w:ascii="Arial" w:eastAsia="Arial"/>
          <w:spacing w:val="-22"/>
        </w:rPr>
        <w:t> </w:t>
      </w:r>
      <w:r>
        <w:rPr/>
        <w:t>分，大火被彻底扑灭。事故共造成</w:t>
        <w:tab/>
      </w:r>
      <w:r>
        <w:rPr>
          <w:rFonts w:ascii="Arial" w:eastAsia="Arial"/>
        </w:rPr>
        <w:t>5</w:t>
      </w:r>
      <w:r>
        <w:rPr>
          <w:rFonts w:ascii="Arial" w:eastAsia="Arial"/>
          <w:spacing w:val="-21"/>
        </w:rPr>
        <w:t> </w:t>
      </w:r>
      <w:r>
        <w:rPr/>
        <w:t>人遇难，人受伤，这是一起由非法作业引起的较大事故。该施工队</w:t>
      </w:r>
    </w:p>
    <w:p>
      <w:pPr>
        <w:pStyle w:val="BodyText"/>
        <w:spacing w:line="439" w:lineRule="exact"/>
        <w:ind w:left="100"/>
      </w:pPr>
      <w:r>
        <w:rPr/>
        <w:t>伍在对油罐进行焊接作业时，没有对其进行危害因素识别，没有采取有效的防范措施，</w:t>
      </w:r>
    </w:p>
    <w:p>
      <w:pPr>
        <w:pStyle w:val="BodyText"/>
        <w:spacing w:before="119"/>
        <w:ind w:left="100"/>
      </w:pPr>
      <w:r>
        <w:rPr/>
        <w:t>导致了此次事故的发生。</w:t>
      </w:r>
    </w:p>
    <w:p>
      <w:pPr>
        <w:pStyle w:val="ListParagraph"/>
        <w:numPr>
          <w:ilvl w:val="2"/>
          <w:numId w:val="2"/>
        </w:numPr>
        <w:tabs>
          <w:tab w:pos="2039" w:val="left" w:leader="none"/>
          <w:tab w:pos="2040" w:val="left" w:leader="none"/>
        </w:tabs>
        <w:spacing w:line="240" w:lineRule="auto" w:before="119" w:after="0"/>
        <w:ind w:left="2040" w:right="0" w:hanging="1540"/>
        <w:jc w:val="left"/>
        <w:rPr>
          <w:sz w:val="36"/>
        </w:rPr>
      </w:pPr>
      <w:r>
        <w:rPr>
          <w:sz w:val="36"/>
        </w:rPr>
        <w:t>环境危害因素识别</w:t>
      </w:r>
    </w:p>
    <w:p>
      <w:pPr>
        <w:pStyle w:val="BodyText"/>
        <w:spacing w:line="302" w:lineRule="auto" w:before="99"/>
        <w:ind w:left="100" w:right="1779" w:firstLine="780"/>
      </w:pPr>
      <w:r>
        <w:rPr/>
        <w:t>加油站的环境危害因素主要体现在加油现场、油罐区、营业室以及发电机房等作业区域。</w:t>
      </w:r>
    </w:p>
    <w:p>
      <w:pPr>
        <w:pStyle w:val="BodyText"/>
        <w:spacing w:line="302" w:lineRule="auto"/>
        <w:ind w:left="100" w:right="1779" w:firstLine="780"/>
        <w:jc w:val="both"/>
      </w:pPr>
      <w:r>
        <w:rPr/>
        <w:t>加油现场环境危害因素主要包括加油过程中，油品洒落在地、车辆尾气的排放、冲洗现场的废水排放、滴洒油品后进行清理的废油沙以及顾客进站后所丢弃的垃圾等危害因素。</w:t>
      </w:r>
    </w:p>
    <w:p>
      <w:pPr>
        <w:pStyle w:val="BodyText"/>
        <w:spacing w:line="458" w:lineRule="exact"/>
        <w:ind w:left="880"/>
      </w:pPr>
      <w:r>
        <w:rPr/>
        <w:t>油罐区的环境危害因素主要包括油品测量过程中油气挥发，油品回灌中的油品滴</w:t>
      </w:r>
    </w:p>
    <w:p>
      <w:pPr>
        <w:spacing w:after="0" w:line="458" w:lineRule="exact"/>
        <w:sectPr>
          <w:pgSz w:w="19680" w:h="25480"/>
          <w:pgMar w:top="2360" w:bottom="280" w:left="2140" w:right="2280"/>
        </w:sectPr>
      </w:pPr>
    </w:p>
    <w:p>
      <w:pPr>
        <w:pStyle w:val="BodyText"/>
        <w:tabs>
          <w:tab w:pos="6379" w:val="left" w:leader="none"/>
          <w:tab w:pos="11679" w:val="left" w:leader="none"/>
        </w:tabs>
        <w:spacing w:line="290" w:lineRule="auto" w:before="40"/>
        <w:ind w:left="1260" w:right="539"/>
      </w:pPr>
      <w:r>
        <w:rPr/>
        <w:t>溅以及油罐清洗后的废物排放，油罐区漏油等危害因素。如：</w:t>
        <w:tab/>
      </w:r>
      <w:r>
        <w:rPr>
          <w:rFonts w:ascii="Arial" w:eastAsia="Arial"/>
        </w:rPr>
        <w:t>2013</w:t>
      </w:r>
      <w:r>
        <w:rPr>
          <w:rFonts w:ascii="Arial" w:eastAsia="Arial"/>
          <w:spacing w:val="-24"/>
        </w:rPr>
        <w:t> </w:t>
      </w:r>
      <w:r>
        <w:rPr/>
        <w:t>年月日湖南省湘潭市岳塘区荷塘加油站发生</w:t>
        <w:tab/>
      </w:r>
      <w:r>
        <w:rPr>
          <w:rFonts w:ascii="Arial" w:eastAsia="Arial"/>
          <w:spacing w:val="-8"/>
        </w:rPr>
        <w:t>93#</w:t>
      </w:r>
      <w:r>
        <w:rPr/>
        <w:t>汽油泄漏，被发现时已泄漏了十余吨，并流入到</w:t>
      </w:r>
    </w:p>
    <w:p>
      <w:pPr>
        <w:pStyle w:val="BodyText"/>
        <w:spacing w:before="23"/>
        <w:ind w:left="100"/>
      </w:pPr>
      <w:r>
        <w:rPr/>
        <w:t>附近</w:t>
      </w:r>
    </w:p>
    <w:p>
      <w:pPr>
        <w:pStyle w:val="BodyText"/>
        <w:tabs>
          <w:tab w:pos="1759" w:val="left" w:leader="none"/>
        </w:tabs>
        <w:spacing w:line="302" w:lineRule="auto" w:before="119"/>
        <w:ind w:left="100" w:right="1259" w:firstLine="600"/>
      </w:pPr>
      <w:r>
        <w:rPr>
          <w:rFonts w:ascii="Arial" w:eastAsia="Arial"/>
        </w:rPr>
        <w:t>30</w:t>
        <w:tab/>
      </w:r>
      <w:r>
        <w:rPr/>
        <w:t>亩农田当中。加油站附近空气中汽油浓度超过爆炸浓度上限的四倍，同时，该加油</w:t>
      </w:r>
    </w:p>
    <w:p>
      <w:pPr>
        <w:spacing w:after="0" w:line="302" w:lineRule="auto"/>
        <w:sectPr>
          <w:pgSz w:w="19680" w:h="25480"/>
          <w:pgMar w:top="2340" w:bottom="280" w:left="2140" w:right="2280"/>
        </w:sectPr>
      </w:pPr>
    </w:p>
    <w:p>
      <w:pPr>
        <w:pStyle w:val="BodyText"/>
        <w:rPr>
          <w:sz w:val="40"/>
        </w:rPr>
      </w:pPr>
    </w:p>
    <w:p>
      <w:pPr>
        <w:pStyle w:val="BodyText"/>
        <w:spacing w:before="10"/>
        <w:rPr>
          <w:sz w:val="48"/>
        </w:rPr>
      </w:pPr>
    </w:p>
    <w:p>
      <w:pPr>
        <w:pStyle w:val="BodyText"/>
        <w:ind w:left="100"/>
      </w:pPr>
      <w:r>
        <w:rPr/>
        <w:t>一</w:t>
      </w:r>
    </w:p>
    <w:p>
      <w:pPr>
        <w:pStyle w:val="BodyText"/>
        <w:rPr>
          <w:sz w:val="40"/>
        </w:rPr>
      </w:pPr>
    </w:p>
    <w:p>
      <w:pPr>
        <w:pStyle w:val="BodyText"/>
        <w:spacing w:before="10"/>
        <w:rPr>
          <w:sz w:val="59"/>
        </w:rPr>
      </w:pPr>
    </w:p>
    <w:p>
      <w:pPr>
        <w:pStyle w:val="BodyText"/>
        <w:spacing w:before="1"/>
        <w:ind w:left="100"/>
      </w:pPr>
      <w:r>
        <w:rPr/>
        <w:t>所</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spacing w:before="273"/>
        <w:ind w:left="100"/>
      </w:pPr>
      <w:r>
        <w:rPr/>
        <w:t>障</w:t>
      </w:r>
    </w:p>
    <w:p>
      <w:pPr>
        <w:pStyle w:val="BodyText"/>
        <w:spacing w:before="9"/>
        <w:rPr>
          <w:sz w:val="54"/>
        </w:rPr>
      </w:pPr>
    </w:p>
    <w:p>
      <w:pPr>
        <w:pStyle w:val="BodyText"/>
        <w:spacing w:before="1"/>
        <w:ind w:left="100"/>
        <w:rPr>
          <w:rFonts w:ascii="Arial"/>
        </w:rPr>
      </w:pPr>
      <w:r>
        <w:rPr>
          <w:rFonts w:ascii="Arial"/>
        </w:rPr>
        <w:t>LEC</w:t>
      </w:r>
    </w:p>
    <w:p>
      <w:pPr>
        <w:pStyle w:val="BodyText"/>
        <w:rPr>
          <w:rFonts w:ascii="Arial"/>
          <w:sz w:val="40"/>
        </w:rPr>
      </w:pPr>
    </w:p>
    <w:p>
      <w:pPr>
        <w:pStyle w:val="BodyText"/>
        <w:rPr>
          <w:rFonts w:ascii="Arial"/>
          <w:sz w:val="40"/>
        </w:rPr>
      </w:pPr>
    </w:p>
    <w:p>
      <w:pPr>
        <w:pStyle w:val="BodyText"/>
        <w:rPr>
          <w:rFonts w:ascii="Arial"/>
          <w:sz w:val="40"/>
        </w:rPr>
      </w:pPr>
    </w:p>
    <w:p>
      <w:pPr>
        <w:pStyle w:val="BodyText"/>
        <w:rPr>
          <w:rFonts w:ascii="Arial"/>
          <w:sz w:val="40"/>
        </w:rPr>
      </w:pPr>
    </w:p>
    <w:p>
      <w:pPr>
        <w:pStyle w:val="BodyText"/>
        <w:spacing w:before="2"/>
        <w:rPr>
          <w:rFonts w:ascii="Arial"/>
          <w:sz w:val="54"/>
        </w:rPr>
      </w:pPr>
    </w:p>
    <w:p>
      <w:pPr>
        <w:pStyle w:val="BodyText"/>
        <w:spacing w:before="1"/>
        <w:ind w:left="100"/>
      </w:pPr>
      <w:r>
        <w:rPr/>
        <w:t>险</w:t>
      </w:r>
    </w:p>
    <w:p>
      <w:pPr>
        <w:pStyle w:val="BodyText"/>
        <w:rPr>
          <w:sz w:val="40"/>
        </w:rPr>
      </w:pPr>
    </w:p>
    <w:p>
      <w:pPr>
        <w:pStyle w:val="BodyText"/>
        <w:spacing w:before="8"/>
        <w:rPr>
          <w:sz w:val="56"/>
        </w:rPr>
      </w:pPr>
    </w:p>
    <w:p>
      <w:pPr>
        <w:pStyle w:val="BodyText"/>
        <w:ind w:left="100"/>
      </w:pPr>
      <w:r>
        <w:rPr/>
        <w:t>每</w:t>
      </w:r>
    </w:p>
    <w:p>
      <w:pPr>
        <w:pStyle w:val="BodyText"/>
        <w:rPr>
          <w:sz w:val="40"/>
        </w:rPr>
      </w:pPr>
    </w:p>
    <w:p>
      <w:pPr>
        <w:pStyle w:val="BodyText"/>
        <w:spacing w:before="10"/>
        <w:rPr>
          <w:sz w:val="59"/>
        </w:rPr>
      </w:pPr>
    </w:p>
    <w:p>
      <w:pPr>
        <w:pStyle w:val="BodyText"/>
        <w:spacing w:before="1"/>
        <w:ind w:left="100"/>
      </w:pPr>
      <w:r>
        <w:rPr/>
        <w:t>承受</w:t>
      </w:r>
    </w:p>
    <w:p>
      <w:pPr>
        <w:pStyle w:val="BodyText"/>
        <w:spacing w:line="290" w:lineRule="auto"/>
        <w:ind w:left="325" w:right="1039"/>
      </w:pPr>
      <w:r>
        <w:rPr/>
        <w:br w:type="column"/>
      </w:r>
      <w:r>
        <w:rPr/>
        <w:t>站还库存有百吨左右的汽油和柴油，一旦哪个地方冒出火星子，后果不堪设想所幸没有发生爆炸和人员伤亡事件。但这次事件导致了加油站后面的农田遭到破坏，是</w:t>
      </w:r>
    </w:p>
    <w:p>
      <w:pPr>
        <w:pStyle w:val="BodyText"/>
        <w:spacing w:before="12"/>
        <w:rPr>
          <w:sz w:val="46"/>
        </w:rPr>
      </w:pPr>
    </w:p>
    <w:p>
      <w:pPr>
        <w:pStyle w:val="BodyText"/>
        <w:ind w:left="325"/>
      </w:pPr>
      <w:r>
        <w:rPr/>
        <w:t>起较大的环境危害。</w:t>
      </w:r>
    </w:p>
    <w:p>
      <w:pPr>
        <w:pStyle w:val="BodyText"/>
        <w:spacing w:before="119"/>
        <w:ind w:left="1105"/>
      </w:pPr>
      <w:r>
        <w:rPr/>
        <w:t>营业室的环境危害因素主要是操作电脑造成的电磁辐射和编制报表或者办公时</w:t>
      </w:r>
    </w:p>
    <w:p>
      <w:pPr>
        <w:pStyle w:val="BodyText"/>
        <w:spacing w:before="7"/>
        <w:rPr>
          <w:sz w:val="54"/>
        </w:rPr>
      </w:pPr>
    </w:p>
    <w:p>
      <w:pPr>
        <w:pStyle w:val="BodyText"/>
        <w:ind w:left="325"/>
      </w:pPr>
      <w:r>
        <w:rPr/>
        <w:t>丢弃的废纸等危害因素。</w:t>
      </w:r>
    </w:p>
    <w:p>
      <w:pPr>
        <w:pStyle w:val="BodyText"/>
        <w:spacing w:before="99"/>
        <w:ind w:left="1105"/>
      </w:pPr>
      <w:r>
        <w:rPr/>
        <w:t>发电机房的危害因素主要是发电时，所产生的噪音排放。</w:t>
      </w:r>
    </w:p>
    <w:p>
      <w:pPr>
        <w:pStyle w:val="ListParagraph"/>
        <w:numPr>
          <w:ilvl w:val="2"/>
          <w:numId w:val="2"/>
        </w:numPr>
        <w:tabs>
          <w:tab w:pos="2265" w:val="left" w:leader="none"/>
          <w:tab w:pos="2266" w:val="left" w:leader="none"/>
        </w:tabs>
        <w:spacing w:line="240" w:lineRule="auto" w:before="118" w:after="0"/>
        <w:ind w:left="2265" w:right="0" w:hanging="2099"/>
        <w:jc w:val="left"/>
        <w:rPr>
          <w:sz w:val="36"/>
        </w:rPr>
      </w:pPr>
      <w:r>
        <w:rPr>
          <w:sz w:val="36"/>
        </w:rPr>
        <w:t>重要环境危害因素识别</w:t>
      </w:r>
    </w:p>
    <w:p>
      <w:pPr>
        <w:pStyle w:val="BodyText"/>
        <w:spacing w:before="119"/>
        <w:ind w:left="1105"/>
      </w:pPr>
      <w:r>
        <w:rPr/>
        <w:t>加油站重要环境危害因素主要是油罐区的油品泄漏，将会造成重大的环境污染。</w:t>
      </w:r>
    </w:p>
    <w:p>
      <w:pPr>
        <w:pStyle w:val="Heading1"/>
        <w:numPr>
          <w:ilvl w:val="0"/>
          <w:numId w:val="2"/>
        </w:numPr>
        <w:tabs>
          <w:tab w:pos="1425" w:val="left" w:leader="none"/>
          <w:tab w:pos="1426" w:val="left" w:leader="none"/>
        </w:tabs>
        <w:spacing w:line="240" w:lineRule="auto" w:before="119" w:after="0"/>
        <w:ind w:left="1425" w:right="0" w:hanging="1325"/>
        <w:jc w:val="left"/>
        <w:rPr>
          <w:rFonts w:ascii="Arial" w:eastAsia="Arial"/>
        </w:rPr>
      </w:pPr>
      <w:r>
        <w:rPr/>
        <w:t>风险评价</w:t>
      </w:r>
    </w:p>
    <w:p>
      <w:pPr>
        <w:pStyle w:val="BodyText"/>
        <w:spacing w:before="122"/>
        <w:ind w:left="1105"/>
      </w:pPr>
      <w:r>
        <w:rPr/>
        <w:t>按评价结果类型可将风险评价分为定性评价和定量评价。</w:t>
      </w:r>
    </w:p>
    <w:p>
      <w:pPr>
        <w:pStyle w:val="BodyText"/>
        <w:spacing w:line="302" w:lineRule="auto" w:before="119"/>
        <w:ind w:left="325" w:right="619" w:firstLine="780"/>
      </w:pPr>
      <w:r>
        <w:rPr/>
        <w:t>定性评价是根据经验对生产中的设备、设施或系统等从工艺、设备本身、环境、人员配置和管理等方面进行定性评价，评价结果由危险集合给出。</w:t>
      </w:r>
    </w:p>
    <w:p>
      <w:pPr>
        <w:pStyle w:val="BodyText"/>
        <w:spacing w:line="459" w:lineRule="exact"/>
        <w:ind w:left="1105"/>
      </w:pPr>
      <w:r>
        <w:rPr/>
        <w:t>定量评价法是在安全系统工程中有两大类方法，一类是概率法，它用积累的故</w:t>
      </w:r>
    </w:p>
    <w:p>
      <w:pPr>
        <w:pStyle w:val="BodyText"/>
        <w:spacing w:line="1140" w:lineRule="atLeast" w:before="20"/>
        <w:ind w:left="325" w:right="1399"/>
      </w:pPr>
      <w:r>
        <w:rPr/>
        <w:t>数据计算出故障或事故的概率，进而计算出风险率，取得以量表示的安全性。如</w:t>
      </w:r>
      <w:r>
        <w:rPr>
          <w:spacing w:val="30"/>
        </w:rPr>
        <w:t>法、</w:t>
      </w:r>
      <w:r>
        <w:rPr>
          <w:rFonts w:ascii="Arial" w:eastAsia="Arial"/>
          <w:spacing w:val="-36"/>
        </w:rPr>
        <w:t>FMRA</w:t>
      </w:r>
      <w:r>
        <w:rPr/>
        <w:t>法。</w:t>
      </w:r>
    </w:p>
    <w:p>
      <w:pPr>
        <w:pStyle w:val="ListParagraph"/>
        <w:numPr>
          <w:ilvl w:val="1"/>
          <w:numId w:val="2"/>
        </w:numPr>
        <w:tabs>
          <w:tab w:pos="1865" w:val="left" w:leader="none"/>
          <w:tab w:pos="1866" w:val="left" w:leader="none"/>
        </w:tabs>
        <w:spacing w:line="240" w:lineRule="auto" w:before="118" w:after="0"/>
        <w:ind w:left="1865" w:right="0" w:hanging="1699"/>
        <w:jc w:val="left"/>
        <w:rPr>
          <w:sz w:val="36"/>
        </w:rPr>
      </w:pPr>
      <w:r>
        <w:rPr>
          <w:sz w:val="36"/>
        </w:rPr>
        <w:t>加油站常用的评价方法</w:t>
      </w:r>
    </w:p>
    <w:p>
      <w:pPr>
        <w:pStyle w:val="ListParagraph"/>
        <w:numPr>
          <w:ilvl w:val="2"/>
          <w:numId w:val="2"/>
        </w:numPr>
        <w:tabs>
          <w:tab w:pos="2265" w:val="left" w:leader="none"/>
          <w:tab w:pos="2266" w:val="left" w:leader="none"/>
        </w:tabs>
        <w:spacing w:line="240" w:lineRule="auto" w:before="119" w:after="0"/>
        <w:ind w:left="2265" w:right="0" w:hanging="2099"/>
        <w:jc w:val="left"/>
        <w:rPr>
          <w:sz w:val="36"/>
        </w:rPr>
      </w:pPr>
      <w:r>
        <w:rPr>
          <w:sz w:val="36"/>
        </w:rPr>
        <w:t>风险评价指数矩阵</w:t>
      </w:r>
    </w:p>
    <w:p>
      <w:pPr>
        <w:pStyle w:val="BodyText"/>
        <w:spacing w:before="119"/>
        <w:ind w:left="1105"/>
      </w:pPr>
      <w:r>
        <w:rPr/>
        <w:t>在进行风险评价时，将风险事件的后果严重程度相对地定性分为若干级，将风</w:t>
      </w:r>
    </w:p>
    <w:p>
      <w:pPr>
        <w:pStyle w:val="BodyText"/>
        <w:spacing w:before="6"/>
        <w:rPr>
          <w:sz w:val="54"/>
        </w:rPr>
      </w:pPr>
    </w:p>
    <w:p>
      <w:pPr>
        <w:pStyle w:val="BodyText"/>
        <w:spacing w:line="290" w:lineRule="auto" w:before="1"/>
        <w:ind w:left="325" w:right="679"/>
      </w:pPr>
      <w:r>
        <w:rPr/>
        <w:t>事件发生的可能性也相对地定性为若干级，然后以严重性为表列，以可能性为表行，制成表，在行列的交点上给出定性的加权指数。所有的加权指数构成一个矩阵，而</w:t>
      </w:r>
    </w:p>
    <w:p>
      <w:pPr>
        <w:pStyle w:val="BodyText"/>
        <w:spacing w:before="7"/>
        <w:rPr>
          <w:sz w:val="45"/>
        </w:rPr>
      </w:pPr>
    </w:p>
    <w:p>
      <w:pPr>
        <w:pStyle w:val="BodyText"/>
        <w:tabs>
          <w:tab w:pos="11905" w:val="left" w:leader="none"/>
        </w:tabs>
        <w:spacing w:line="302" w:lineRule="auto"/>
        <w:ind w:left="325" w:right="279"/>
      </w:pPr>
      <w:r>
        <w:rPr/>
        <w:t>一个指数代表了一个风险等级。该方法的优点是简洁明了，易于掌握，适用范围广； 缺点是确定风险可能性、后果严重程度过于依赖经验，主观性较大。</w:t>
        <w:tab/>
      </w:r>
      <w:r>
        <w:rPr>
          <w:rFonts w:ascii="Arial" w:eastAsia="Arial"/>
        </w:rPr>
        <w:t>7-9</w:t>
      </w:r>
      <w:r>
        <w:rPr>
          <w:rFonts w:ascii="Arial" w:eastAsia="Arial"/>
          <w:spacing w:val="76"/>
        </w:rPr>
        <w:t> </w:t>
      </w:r>
      <w:r>
        <w:rPr/>
        <w:t>级为不可</w:t>
      </w:r>
    </w:p>
    <w:p>
      <w:pPr>
        <w:pStyle w:val="BodyText"/>
        <w:spacing w:before="1"/>
        <w:rPr>
          <w:sz w:val="45"/>
        </w:rPr>
      </w:pPr>
    </w:p>
    <w:p>
      <w:pPr>
        <w:pStyle w:val="BodyText"/>
        <w:tabs>
          <w:tab w:pos="7965" w:val="left" w:leader="none"/>
        </w:tabs>
        <w:ind w:left="325"/>
      </w:pPr>
      <w:r>
        <w:rPr/>
        <w:t>风险（高度），</w:t>
      </w:r>
      <w:r>
        <w:rPr>
          <w:spacing w:val="-1"/>
        </w:rPr>
        <w:t> </w:t>
      </w:r>
      <w:r>
        <w:rPr>
          <w:rFonts w:ascii="Arial" w:eastAsia="Arial"/>
        </w:rPr>
        <w:t>5-6</w:t>
      </w:r>
      <w:r>
        <w:rPr>
          <w:rFonts w:ascii="Arial" w:eastAsia="Arial"/>
          <w:spacing w:val="77"/>
        </w:rPr>
        <w:t> </w:t>
      </w:r>
      <w:r>
        <w:rPr/>
        <w:t>级为需关注风险（中），</w:t>
        <w:tab/>
      </w:r>
      <w:r>
        <w:rPr>
          <w:rFonts w:ascii="Arial" w:eastAsia="Arial"/>
        </w:rPr>
        <w:t>04</w:t>
      </w:r>
      <w:r>
        <w:rPr>
          <w:rFonts w:ascii="Arial" w:eastAsia="Arial"/>
          <w:spacing w:val="-22"/>
        </w:rPr>
        <w:t> </w:t>
      </w:r>
      <w:r>
        <w:rPr/>
        <w:t>级为可承受风险（低）。</w:t>
      </w:r>
    </w:p>
    <w:p>
      <w:pPr>
        <w:pStyle w:val="BodyText"/>
        <w:tabs>
          <w:tab w:pos="1405" w:val="left" w:leader="none"/>
        </w:tabs>
        <w:spacing w:before="99"/>
        <w:ind w:left="325"/>
        <w:jc w:val="center"/>
      </w:pPr>
      <w:r>
        <w:rPr/>
        <w:t>表</w:t>
      </w:r>
      <w:r>
        <w:rPr>
          <w:spacing w:val="-40"/>
        </w:rPr>
        <w:t> </w:t>
      </w:r>
      <w:r>
        <w:rPr>
          <w:rFonts w:ascii="Arial" w:eastAsia="Arial"/>
        </w:rPr>
        <w:t>1</w:t>
        <w:tab/>
      </w:r>
      <w:r>
        <w:rPr/>
        <w:t>风险评价指数矩阵</w:t>
      </w:r>
    </w:p>
    <w:p>
      <w:pPr>
        <w:spacing w:after="0"/>
        <w:jc w:val="center"/>
        <w:sectPr>
          <w:type w:val="continuous"/>
          <w:pgSz w:w="19680" w:h="25480"/>
          <w:pgMar w:top="2400" w:bottom="280" w:left="2140" w:right="2280"/>
          <w:cols w:num="2" w:equalWidth="0">
            <w:col w:w="861" w:space="74"/>
            <w:col w:w="14325"/>
          </w:cols>
        </w:sectPr>
      </w:pPr>
    </w:p>
    <w:p>
      <w:pPr>
        <w:pStyle w:val="BodyText"/>
        <w:spacing w:before="20"/>
        <w:jc w:val="right"/>
      </w:pPr>
      <w:r>
        <w:rPr/>
        <w:t>危害程度</w:t>
      </w:r>
    </w:p>
    <w:p>
      <w:pPr>
        <w:pStyle w:val="BodyText"/>
        <w:rPr>
          <w:sz w:val="40"/>
        </w:rPr>
      </w:pPr>
      <w:r>
        <w:rPr/>
        <w:br w:type="column"/>
      </w:r>
      <w:r>
        <w:rPr>
          <w:sz w:val="40"/>
        </w:rPr>
      </w:r>
    </w:p>
    <w:p>
      <w:pPr>
        <w:pStyle w:val="BodyText"/>
        <w:spacing w:before="3"/>
        <w:rPr>
          <w:sz w:val="52"/>
        </w:rPr>
      </w:pPr>
    </w:p>
    <w:p>
      <w:pPr>
        <w:pStyle w:val="BodyText"/>
        <w:ind w:left="223"/>
        <w:rPr>
          <w:rFonts w:ascii="Arial"/>
        </w:rPr>
      </w:pPr>
      <w:r>
        <w:rPr>
          <w:rFonts w:ascii="Arial"/>
        </w:rPr>
        <w:t>ABCDE</w:t>
      </w:r>
    </w:p>
    <w:p>
      <w:pPr>
        <w:pStyle w:val="BodyText"/>
        <w:spacing w:before="5"/>
        <w:rPr>
          <w:rFonts w:ascii="Arial"/>
          <w:sz w:val="50"/>
        </w:rPr>
      </w:pPr>
      <w:r>
        <w:rPr/>
        <w:br w:type="column"/>
      </w:r>
      <w:r>
        <w:rPr>
          <w:rFonts w:ascii="Arial"/>
          <w:sz w:val="50"/>
        </w:rPr>
      </w:r>
    </w:p>
    <w:p>
      <w:pPr>
        <w:pStyle w:val="BodyText"/>
        <w:ind w:left="3200"/>
      </w:pPr>
      <w:r>
        <w:rPr/>
        <w:t>可能性</w:t>
      </w:r>
    </w:p>
    <w:p>
      <w:pPr>
        <w:spacing w:after="0"/>
        <w:sectPr>
          <w:pgSz w:w="19680" w:h="25480"/>
          <w:pgMar w:top="2360" w:bottom="280" w:left="2140" w:right="2280"/>
          <w:cols w:num="3" w:equalWidth="0">
            <w:col w:w="4641" w:space="40"/>
            <w:col w:w="1505" w:space="2694"/>
            <w:col w:w="6380"/>
          </w:cols>
        </w:sectPr>
      </w:pPr>
    </w:p>
    <w:p>
      <w:pPr>
        <w:pStyle w:val="BodyText"/>
        <w:spacing w:before="144"/>
        <w:ind w:left="100"/>
        <w:rPr>
          <w:rFonts w:ascii="Arial" w:eastAsia="Arial"/>
        </w:rPr>
      </w:pPr>
      <w:r>
        <w:rPr>
          <w:spacing w:val="5"/>
        </w:rPr>
        <w:t>级别 人员 </w:t>
      </w:r>
      <w:r>
        <w:rPr>
          <w:rFonts w:ascii="Arial" w:eastAsia="Arial"/>
        </w:rPr>
        <w:t>P</w:t>
      </w:r>
      <w:r>
        <w:rPr>
          <w:rFonts w:ascii="Arial" w:eastAsia="Arial"/>
          <w:spacing w:val="-61"/>
        </w:rPr>
        <w:t> </w:t>
      </w:r>
      <w:r>
        <w:rPr>
          <w:spacing w:val="-7"/>
        </w:rPr>
        <w:t>财产 </w:t>
      </w:r>
      <w:r>
        <w:rPr>
          <w:rFonts w:ascii="Arial" w:eastAsia="Arial"/>
        </w:rPr>
        <w:t>A</w:t>
      </w:r>
      <w:r>
        <w:rPr>
          <w:rFonts w:ascii="Arial" w:eastAsia="Arial"/>
          <w:spacing w:val="-61"/>
        </w:rPr>
        <w:t> </w:t>
      </w:r>
      <w:r>
        <w:rPr>
          <w:spacing w:val="-7"/>
        </w:rPr>
        <w:t>环境 </w:t>
      </w:r>
      <w:r>
        <w:rPr>
          <w:rFonts w:ascii="Arial" w:eastAsia="Arial"/>
        </w:rPr>
        <w:t>E</w:t>
      </w:r>
      <w:r>
        <w:rPr>
          <w:rFonts w:ascii="Arial" w:eastAsia="Arial"/>
          <w:spacing w:val="-61"/>
        </w:rPr>
        <w:t> </w:t>
      </w:r>
      <w:r>
        <w:rPr>
          <w:spacing w:val="-7"/>
        </w:rPr>
        <w:t>声誉 </w:t>
      </w:r>
      <w:r>
        <w:rPr>
          <w:rFonts w:ascii="Arial" w:eastAsia="Arial"/>
        </w:rPr>
        <w:t>R</w:t>
      </w:r>
    </w:p>
    <w:p>
      <w:pPr>
        <w:pStyle w:val="BodyText"/>
        <w:spacing w:before="119"/>
        <w:ind w:left="8980"/>
      </w:pPr>
      <w:r>
        <w:rPr/>
        <w:t>在行业在公在公司在基层</w:t>
      </w:r>
    </w:p>
    <w:p>
      <w:pPr>
        <w:pStyle w:val="BodyText"/>
        <w:rPr>
          <w:sz w:val="20"/>
        </w:rPr>
      </w:pPr>
    </w:p>
    <w:p>
      <w:pPr>
        <w:pStyle w:val="BodyText"/>
        <w:spacing w:before="1"/>
        <w:rPr>
          <w:sz w:val="29"/>
        </w:rPr>
      </w:pPr>
    </w:p>
    <w:p>
      <w:pPr>
        <w:pStyle w:val="BodyText"/>
        <w:spacing w:before="50"/>
        <w:ind w:left="100"/>
      </w:pPr>
      <w:r>
        <w:rPr/>
        <w:t>常发生</w:t>
      </w:r>
    </w:p>
    <w:p>
      <w:pPr>
        <w:spacing w:after="0"/>
        <w:sectPr>
          <w:type w:val="continuous"/>
          <w:pgSz w:w="19680" w:h="25480"/>
          <w:pgMar w:top="2400" w:bottom="280" w:left="2140" w:right="2280"/>
        </w:sectPr>
      </w:pPr>
    </w:p>
    <w:p>
      <w:pPr>
        <w:pStyle w:val="BodyText"/>
        <w:rPr>
          <w:sz w:val="42"/>
        </w:rPr>
      </w:pPr>
    </w:p>
    <w:p>
      <w:pPr>
        <w:pStyle w:val="BodyText"/>
        <w:spacing w:before="6"/>
        <w:rPr>
          <w:sz w:val="48"/>
        </w:rPr>
      </w:pPr>
    </w:p>
    <w:p>
      <w:pPr>
        <w:pStyle w:val="ListParagraph"/>
        <w:numPr>
          <w:ilvl w:val="0"/>
          <w:numId w:val="3"/>
        </w:numPr>
        <w:tabs>
          <w:tab w:pos="480" w:val="left" w:leader="none"/>
        </w:tabs>
        <w:spacing w:line="240" w:lineRule="auto" w:before="1" w:after="0"/>
        <w:ind w:left="480" w:right="0" w:hanging="380"/>
        <w:jc w:val="left"/>
        <w:rPr>
          <w:sz w:val="36"/>
        </w:rPr>
      </w:pPr>
      <w:r>
        <w:rPr>
          <w:sz w:val="36"/>
        </w:rPr>
        <w:t>无伤害无损失无影响</w:t>
      </w:r>
    </w:p>
    <w:p>
      <w:pPr>
        <w:pStyle w:val="ListParagraph"/>
        <w:numPr>
          <w:ilvl w:val="0"/>
          <w:numId w:val="3"/>
        </w:numPr>
        <w:tabs>
          <w:tab w:pos="480" w:val="left" w:leader="none"/>
          <w:tab w:pos="3679" w:val="left" w:leader="none"/>
        </w:tabs>
        <w:spacing w:line="240" w:lineRule="auto" w:before="118" w:after="0"/>
        <w:ind w:left="480" w:right="0" w:hanging="380"/>
        <w:jc w:val="left"/>
        <w:rPr>
          <w:rFonts w:ascii="Arial" w:eastAsia="Arial"/>
          <w:sz w:val="36"/>
        </w:rPr>
      </w:pPr>
      <w:r>
        <w:rPr>
          <w:sz w:val="36"/>
        </w:rPr>
        <w:t>轻微伤害轻微影响</w:t>
        <w:tab/>
      </w:r>
      <w:r>
        <w:rPr>
          <w:rFonts w:ascii="Arial" w:eastAsia="Arial"/>
          <w:sz w:val="36"/>
        </w:rPr>
        <w:t>0234</w:t>
      </w:r>
    </w:p>
    <w:p>
      <w:pPr>
        <w:pStyle w:val="ListParagraph"/>
        <w:numPr>
          <w:ilvl w:val="0"/>
          <w:numId w:val="3"/>
        </w:numPr>
        <w:tabs>
          <w:tab w:pos="480" w:val="left" w:leader="none"/>
          <w:tab w:pos="5619" w:val="left" w:leader="none"/>
        </w:tabs>
        <w:spacing w:line="240" w:lineRule="auto" w:before="119" w:after="0"/>
        <w:ind w:left="480" w:right="0" w:hanging="380"/>
        <w:jc w:val="left"/>
        <w:rPr>
          <w:rFonts w:ascii="Arial" w:eastAsia="Arial"/>
          <w:sz w:val="36"/>
        </w:rPr>
      </w:pPr>
      <w:r>
        <w:rPr>
          <w:sz w:val="36"/>
        </w:rPr>
        <w:t>小伤害小损失小影响有限影响</w:t>
        <w:tab/>
      </w:r>
      <w:r>
        <w:rPr>
          <w:rFonts w:ascii="Arial" w:eastAsia="Arial"/>
          <w:sz w:val="36"/>
        </w:rPr>
        <w:t>3456</w:t>
      </w:r>
    </w:p>
    <w:p>
      <w:pPr>
        <w:pStyle w:val="ListParagraph"/>
        <w:numPr>
          <w:ilvl w:val="0"/>
          <w:numId w:val="3"/>
        </w:numPr>
        <w:tabs>
          <w:tab w:pos="480" w:val="left" w:leader="none"/>
          <w:tab w:pos="3679" w:val="left" w:leader="none"/>
        </w:tabs>
        <w:spacing w:line="240" w:lineRule="auto" w:before="119" w:after="0"/>
        <w:ind w:left="480" w:right="0" w:hanging="380"/>
        <w:jc w:val="left"/>
        <w:rPr>
          <w:rFonts w:ascii="Arial" w:eastAsia="Arial"/>
          <w:sz w:val="36"/>
        </w:rPr>
      </w:pPr>
      <w:r>
        <w:rPr>
          <w:sz w:val="36"/>
        </w:rPr>
        <w:t>重大伤害很大影响</w:t>
        <w:tab/>
      </w:r>
      <w:r>
        <w:rPr>
          <w:rFonts w:ascii="Arial" w:eastAsia="Arial"/>
          <w:sz w:val="36"/>
        </w:rPr>
        <w:t>4567</w:t>
      </w:r>
    </w:p>
    <w:p>
      <w:pPr>
        <w:pStyle w:val="ListParagraph"/>
        <w:numPr>
          <w:ilvl w:val="0"/>
          <w:numId w:val="3"/>
        </w:numPr>
        <w:tabs>
          <w:tab w:pos="480" w:val="left" w:leader="none"/>
          <w:tab w:pos="3679" w:val="left" w:leader="none"/>
        </w:tabs>
        <w:spacing w:line="240" w:lineRule="auto" w:before="99" w:after="0"/>
        <w:ind w:left="480" w:right="0" w:hanging="380"/>
        <w:jc w:val="left"/>
        <w:rPr>
          <w:rFonts w:ascii="Arial" w:eastAsia="Arial"/>
          <w:sz w:val="36"/>
        </w:rPr>
      </w:pPr>
      <w:r>
        <w:rPr>
          <w:sz w:val="36"/>
        </w:rPr>
        <w:t>一人死亡全国影响</w:t>
        <w:tab/>
      </w:r>
      <w:r>
        <w:rPr>
          <w:rFonts w:ascii="Arial" w:eastAsia="Arial"/>
          <w:sz w:val="36"/>
        </w:rPr>
        <w:t>5678</w:t>
      </w:r>
    </w:p>
    <w:p>
      <w:pPr>
        <w:pStyle w:val="ListParagraph"/>
        <w:numPr>
          <w:ilvl w:val="0"/>
          <w:numId w:val="3"/>
        </w:numPr>
        <w:tabs>
          <w:tab w:pos="480" w:val="left" w:leader="none"/>
          <w:tab w:pos="3679" w:val="left" w:leader="none"/>
        </w:tabs>
        <w:spacing w:line="240" w:lineRule="auto" w:before="118" w:after="0"/>
        <w:ind w:left="480" w:right="0" w:hanging="380"/>
        <w:jc w:val="left"/>
        <w:rPr>
          <w:rFonts w:ascii="Arial" w:eastAsia="Arial"/>
          <w:sz w:val="36"/>
        </w:rPr>
      </w:pPr>
      <w:r>
        <w:rPr>
          <w:sz w:val="36"/>
        </w:rPr>
        <w:t>多人死亡国际影响</w:t>
        <w:tab/>
      </w:r>
      <w:r>
        <w:rPr>
          <w:rFonts w:ascii="Arial" w:eastAsia="Arial"/>
          <w:sz w:val="36"/>
        </w:rPr>
        <w:t>6789</w:t>
      </w:r>
    </w:p>
    <w:p>
      <w:pPr>
        <w:pStyle w:val="ListParagraph"/>
        <w:numPr>
          <w:ilvl w:val="2"/>
          <w:numId w:val="2"/>
        </w:numPr>
        <w:tabs>
          <w:tab w:pos="2799" w:val="left" w:leader="none"/>
          <w:tab w:pos="2800" w:val="left" w:leader="none"/>
          <w:tab w:pos="7059" w:val="left" w:leader="none"/>
        </w:tabs>
        <w:spacing w:line="240" w:lineRule="auto" w:before="119" w:after="0"/>
        <w:ind w:left="2800" w:right="0" w:hanging="1900"/>
        <w:jc w:val="left"/>
        <w:rPr>
          <w:sz w:val="36"/>
        </w:rPr>
      </w:pPr>
      <w:r>
        <w:rPr>
          <w:sz w:val="36"/>
        </w:rPr>
        <w:t>作业条件危险性评价法（</w:t>
        <w:tab/>
      </w:r>
      <w:r>
        <w:rPr>
          <w:rFonts w:ascii="Arial" w:eastAsia="Arial"/>
          <w:spacing w:val="-8"/>
          <w:sz w:val="36"/>
        </w:rPr>
        <w:t>LEC</w:t>
      </w:r>
      <w:r>
        <w:rPr>
          <w:sz w:val="36"/>
        </w:rPr>
        <w:t>法）</w:t>
      </w:r>
    </w:p>
    <w:p>
      <w:pPr>
        <w:pStyle w:val="BodyText"/>
        <w:spacing w:before="20"/>
        <w:ind w:left="100"/>
      </w:pPr>
      <w:r>
        <w:rPr/>
        <w:br w:type="column"/>
      </w:r>
      <w:r>
        <w:rPr/>
        <w:t>说过发生多次发</w:t>
      </w:r>
    </w:p>
    <w:p>
      <w:pPr>
        <w:pStyle w:val="BodyText"/>
        <w:spacing w:before="98"/>
        <w:ind w:right="899"/>
        <w:jc w:val="right"/>
      </w:pPr>
      <w:r>
        <w:rPr/>
        <w:t>生</w:t>
      </w:r>
    </w:p>
    <w:p>
      <w:pPr>
        <w:spacing w:after="0"/>
        <w:jc w:val="right"/>
        <w:sectPr>
          <w:pgSz w:w="19680" w:h="25480"/>
          <w:pgMar w:top="2360" w:bottom="280" w:left="2140" w:right="2280"/>
          <w:cols w:num="2" w:equalWidth="0">
            <w:col w:w="8501" w:space="379"/>
            <w:col w:w="6380"/>
          </w:cols>
        </w:sectPr>
      </w:pPr>
    </w:p>
    <w:p>
      <w:pPr>
        <w:pStyle w:val="BodyText"/>
        <w:spacing w:before="119"/>
        <w:ind w:left="1640"/>
      </w:pPr>
      <w:r>
        <w:rPr/>
        <w:t>该法是一种简单易行的、评价员工在具有潜在危险性环境中作业时危险性的半定</w:t>
      </w:r>
    </w:p>
    <w:p>
      <w:pPr>
        <w:pStyle w:val="BodyText"/>
        <w:tabs>
          <w:tab w:pos="7059" w:val="left" w:leader="none"/>
          <w:tab w:pos="7159" w:val="left" w:leader="none"/>
          <w:tab w:pos="11599" w:val="left" w:leader="none"/>
        </w:tabs>
        <w:spacing w:line="302" w:lineRule="auto" w:before="119"/>
        <w:ind w:left="880" w:right="259"/>
      </w:pPr>
      <w:r>
        <w:rPr/>
        <w:t>量评价方法。它是由美国格雷厄姆（</w:t>
        <w:tab/>
      </w:r>
      <w:r>
        <w:rPr>
          <w:rFonts w:ascii="Arial" w:eastAsia="Arial"/>
        </w:rPr>
        <w:t>K,J.Graham</w:t>
      </w:r>
      <w:r>
        <w:rPr/>
        <w:t>）和金妮（</w:t>
      </w:r>
      <w:r>
        <w:rPr>
          <w:spacing w:val="-41"/>
        </w:rPr>
        <w:t> </w:t>
      </w:r>
      <w:r>
        <w:rPr>
          <w:rFonts w:ascii="Arial" w:eastAsia="Arial"/>
        </w:rPr>
        <w:t>G.F.Kinney</w:t>
      </w:r>
      <w:r>
        <w:rPr>
          <w:rFonts w:ascii="Arial" w:eastAsia="Arial"/>
          <w:spacing w:val="16"/>
        </w:rPr>
        <w:t> </w:t>
      </w:r>
      <w:r>
        <w:rPr/>
        <w:t>）提出的。他们认为影响作业条件危险性的因素是</w:t>
        <w:tab/>
        <w:tab/>
      </w:r>
      <w:r>
        <w:rPr>
          <w:rFonts w:ascii="Arial" w:eastAsia="Arial"/>
        </w:rPr>
        <w:t>L</w:t>
      </w:r>
      <w:r>
        <w:rPr/>
        <w:t>（事故发生的可能性）、</w:t>
        <w:tab/>
      </w:r>
      <w:r>
        <w:rPr>
          <w:rFonts w:ascii="Arial" w:eastAsia="Arial"/>
          <w:spacing w:val="-21"/>
        </w:rPr>
        <w:t>E</w:t>
      </w:r>
      <w:r>
        <w:rPr>
          <w:spacing w:val="-21"/>
        </w:rPr>
        <w:t>（</w:t>
      </w:r>
      <w:r>
        <w:rPr/>
        <w:t>人员暴露于危险</w:t>
      </w:r>
    </w:p>
    <w:p>
      <w:pPr>
        <w:pStyle w:val="BodyText"/>
        <w:spacing w:line="439" w:lineRule="exact"/>
        <w:ind w:left="100"/>
      </w:pPr>
      <w:r>
        <w:rPr/>
        <w:t>环境</w:t>
      </w:r>
    </w:p>
    <w:p>
      <w:pPr>
        <w:pStyle w:val="BodyText"/>
        <w:tabs>
          <w:tab w:pos="3679" w:val="left" w:leader="none"/>
        </w:tabs>
        <w:spacing w:before="118"/>
        <w:ind w:left="880"/>
      </w:pPr>
      <w:r>
        <w:rPr/>
        <w:t>的频发程度）和</w:t>
        <w:tab/>
      </w:r>
      <w:r>
        <w:rPr>
          <w:rFonts w:ascii="Arial" w:eastAsia="Arial"/>
          <w:spacing w:val="-30"/>
        </w:rPr>
        <w:t>C</w:t>
      </w:r>
      <w:r>
        <w:rPr>
          <w:spacing w:val="-30"/>
        </w:rPr>
        <w:t>（</w:t>
      </w:r>
      <w:r>
        <w:rPr/>
        <w:t>一旦发生事故可能造成的后果）。用这三个因素分值的乘积</w:t>
      </w:r>
    </w:p>
    <w:p>
      <w:pPr>
        <w:spacing w:after="0"/>
        <w:sectPr>
          <w:type w:val="continuous"/>
          <w:pgSz w:w="19680" w:h="25480"/>
          <w:pgMar w:top="2400" w:bottom="280" w:left="2140" w:right="2280"/>
        </w:sectPr>
      </w:pPr>
    </w:p>
    <w:p>
      <w:pPr>
        <w:pStyle w:val="BodyText"/>
        <w:spacing w:before="141"/>
        <w:ind w:left="100"/>
        <w:rPr>
          <w:rFonts w:ascii="Arial"/>
        </w:rPr>
      </w:pPr>
      <w:r>
        <w:rPr>
          <w:rFonts w:ascii="Arial"/>
        </w:rPr>
        <w:t>D=C*E*C</w:t>
      </w:r>
    </w:p>
    <w:p>
      <w:pPr>
        <w:pStyle w:val="BodyText"/>
        <w:tabs>
          <w:tab w:pos="5499" w:val="left" w:leader="none"/>
        </w:tabs>
        <w:spacing w:before="144"/>
        <w:ind w:left="880"/>
      </w:pPr>
      <w:r>
        <w:rPr/>
        <w:t>来评价作业条件的危险性，</w:t>
        <w:tab/>
      </w:r>
      <w:r>
        <w:rPr>
          <w:rFonts w:ascii="Arial" w:eastAsia="Arial"/>
        </w:rPr>
        <w:t>D</w:t>
      </w:r>
      <w:r>
        <w:rPr>
          <w:rFonts w:ascii="Arial" w:eastAsia="Arial"/>
          <w:spacing w:val="-40"/>
        </w:rPr>
        <w:t> </w:t>
      </w:r>
      <w:r>
        <w:rPr/>
        <w:t>值越大，作业条件的危险性也越大。</w:t>
      </w:r>
    </w:p>
    <w:p>
      <w:pPr>
        <w:pStyle w:val="Heading1"/>
        <w:tabs>
          <w:tab w:pos="7659" w:val="left" w:leader="none"/>
        </w:tabs>
        <w:spacing w:before="119"/>
        <w:ind w:left="6440" w:firstLine="0"/>
      </w:pPr>
      <w:r>
        <w:rPr/>
        <w:t>表</w:t>
      </w:r>
      <w:r>
        <w:rPr>
          <w:spacing w:val="-70"/>
        </w:rPr>
        <w:t> </w:t>
      </w:r>
      <w:r>
        <w:rPr>
          <w:rFonts w:ascii="Arial" w:eastAsia="Arial"/>
        </w:rPr>
        <w:t>2</w:t>
        <w:tab/>
      </w:r>
      <w:r>
        <w:rPr/>
        <w:t>取值标准</w:t>
      </w:r>
    </w:p>
    <w:p>
      <w:pPr>
        <w:pStyle w:val="BodyText"/>
        <w:spacing w:before="122"/>
        <w:ind w:left="480"/>
      </w:pPr>
      <w:r>
        <w:rPr/>
        <w:t>事故发生的可能性暴露于危险环境频繁事故造成的后果</w:t>
      </w:r>
    </w:p>
    <w:p>
      <w:pPr>
        <w:pStyle w:val="BodyText"/>
        <w:rPr>
          <w:sz w:val="40"/>
        </w:rPr>
      </w:pPr>
    </w:p>
    <w:p>
      <w:pPr>
        <w:pStyle w:val="BodyText"/>
        <w:spacing w:before="10"/>
        <w:rPr>
          <w:sz w:val="59"/>
        </w:rPr>
      </w:pPr>
    </w:p>
    <w:p>
      <w:pPr>
        <w:pStyle w:val="BodyText"/>
        <w:ind w:left="100"/>
      </w:pPr>
      <w:r>
        <w:rPr/>
        <w:t>数值</w:t>
      </w:r>
    </w:p>
    <w:p>
      <w:pPr>
        <w:pStyle w:val="BodyText"/>
        <w:tabs>
          <w:tab w:pos="3299" w:val="left" w:leader="none"/>
          <w:tab w:pos="7939" w:val="left" w:leader="none"/>
        </w:tabs>
        <w:spacing w:before="119"/>
        <w:ind w:left="480"/>
        <w:rPr>
          <w:rFonts w:ascii="Arial" w:eastAsia="Arial"/>
        </w:rPr>
      </w:pPr>
      <w:r>
        <w:rPr/>
        <w:t>完全会被预料到</w:t>
        <w:tab/>
      </w:r>
      <w:r>
        <w:rPr>
          <w:rFonts w:ascii="Arial" w:eastAsia="Arial"/>
        </w:rPr>
        <w:t>106</w:t>
      </w:r>
      <w:r>
        <w:rPr>
          <w:rFonts w:ascii="Arial" w:eastAsia="Arial"/>
          <w:spacing w:val="-42"/>
        </w:rPr>
        <w:t> </w:t>
      </w:r>
      <w:r>
        <w:rPr/>
        <w:t>连续暴露十人以上死亡</w:t>
        <w:tab/>
      </w:r>
      <w:r>
        <w:rPr>
          <w:rFonts w:ascii="Arial" w:eastAsia="Arial"/>
        </w:rPr>
        <w:t>100</w:t>
      </w:r>
    </w:p>
    <w:p>
      <w:pPr>
        <w:pStyle w:val="BodyText"/>
        <w:tabs>
          <w:tab w:pos="8319" w:val="left" w:leader="none"/>
        </w:tabs>
        <w:spacing w:before="99"/>
        <w:ind w:left="1260"/>
        <w:rPr>
          <w:rFonts w:ascii="Arial" w:eastAsia="Arial"/>
        </w:rPr>
      </w:pPr>
      <w:r>
        <w:rPr/>
        <w:t>相当可能</w:t>
      </w:r>
      <w:r>
        <w:rPr>
          <w:spacing w:val="40"/>
        </w:rPr>
        <w:t> </w:t>
      </w:r>
      <w:r>
        <w:rPr>
          <w:rFonts w:ascii="Arial" w:eastAsia="Arial"/>
        </w:rPr>
        <w:t>6</w:t>
      </w:r>
      <w:r>
        <w:rPr>
          <w:rFonts w:ascii="Arial" w:eastAsia="Arial"/>
          <w:spacing w:val="-21"/>
        </w:rPr>
        <w:t> </w:t>
      </w:r>
      <w:r>
        <w:rPr/>
        <w:t>每天工作时间内暴露数人死亡</w:t>
        <w:tab/>
      </w:r>
      <w:r>
        <w:rPr>
          <w:rFonts w:ascii="Arial" w:eastAsia="Arial"/>
        </w:rPr>
        <w:t>40</w:t>
      </w:r>
    </w:p>
    <w:p>
      <w:pPr>
        <w:pStyle w:val="BodyText"/>
        <w:tabs>
          <w:tab w:pos="3299" w:val="left" w:leader="none"/>
          <w:tab w:pos="8699" w:val="left" w:leader="none"/>
        </w:tabs>
        <w:spacing w:before="118"/>
        <w:ind w:left="480"/>
        <w:rPr>
          <w:rFonts w:ascii="Arial" w:eastAsia="Arial"/>
        </w:rPr>
      </w:pPr>
      <w:r>
        <w:rPr/>
        <w:t>可能，但不经常</w:t>
        <w:tab/>
      </w:r>
      <w:r>
        <w:rPr>
          <w:rFonts w:ascii="Arial" w:eastAsia="Arial"/>
        </w:rPr>
        <w:t>3</w:t>
      </w:r>
      <w:r>
        <w:rPr>
          <w:rFonts w:ascii="Arial" w:eastAsia="Arial"/>
          <w:spacing w:val="-21"/>
        </w:rPr>
        <w:t> </w:t>
      </w:r>
      <w:r>
        <w:rPr/>
        <w:t>每周一次或偶然暴露一人死亡</w:t>
        <w:tab/>
      </w:r>
      <w:r>
        <w:rPr>
          <w:rFonts w:ascii="Arial" w:eastAsia="Arial"/>
        </w:rPr>
        <w:t>15</w:t>
      </w:r>
    </w:p>
    <w:p>
      <w:pPr>
        <w:pStyle w:val="BodyText"/>
        <w:tabs>
          <w:tab w:pos="3679" w:val="left" w:leader="none"/>
        </w:tabs>
        <w:spacing w:before="119"/>
        <w:ind w:left="100"/>
        <w:rPr>
          <w:rFonts w:ascii="Arial" w:eastAsia="Arial"/>
        </w:rPr>
      </w:pPr>
      <w:r>
        <w:rPr/>
        <w:t>完全意外，很少可能</w:t>
        <w:tab/>
      </w:r>
      <w:r>
        <w:rPr>
          <w:rFonts w:ascii="Arial" w:eastAsia="Arial"/>
        </w:rPr>
        <w:t>1</w:t>
      </w:r>
      <w:r>
        <w:rPr>
          <w:rFonts w:ascii="Arial" w:eastAsia="Arial"/>
          <w:spacing w:val="98"/>
        </w:rPr>
        <w:t> </w:t>
      </w:r>
      <w:r>
        <w:rPr/>
        <w:t>每月暴露一次</w:t>
      </w:r>
      <w:r>
        <w:rPr>
          <w:spacing w:val="60"/>
        </w:rPr>
        <w:t> </w:t>
      </w:r>
      <w:r>
        <w:rPr>
          <w:rFonts w:ascii="Arial" w:eastAsia="Arial"/>
        </w:rPr>
        <w:t>2</w:t>
      </w:r>
      <w:r>
        <w:rPr>
          <w:rFonts w:ascii="Arial" w:eastAsia="Arial"/>
          <w:spacing w:val="-1"/>
        </w:rPr>
        <w:t> </w:t>
      </w:r>
      <w:r>
        <w:rPr/>
        <w:t>严重伤残 </w:t>
      </w:r>
      <w:r>
        <w:rPr>
          <w:rFonts w:ascii="Arial" w:eastAsia="Arial"/>
        </w:rPr>
        <w:t>7</w:t>
      </w:r>
    </w:p>
    <w:p>
      <w:pPr>
        <w:pStyle w:val="BodyText"/>
        <w:tabs>
          <w:tab w:pos="3679" w:val="left" w:leader="none"/>
          <w:tab w:pos="4459" w:val="left" w:leader="none"/>
        </w:tabs>
        <w:spacing w:before="119"/>
        <w:ind w:left="100"/>
        <w:rPr>
          <w:rFonts w:ascii="Arial" w:eastAsia="Arial"/>
        </w:rPr>
      </w:pPr>
      <w:r>
        <w:rPr/>
        <w:t>可以设想，很不可能</w:t>
        <w:tab/>
      </w:r>
      <w:r>
        <w:rPr>
          <w:rFonts w:ascii="Arial" w:eastAsia="Arial"/>
        </w:rPr>
        <w:t>0.5</w:t>
        <w:tab/>
      </w:r>
      <w:r>
        <w:rPr/>
        <w:t>每年几次暴露</w:t>
      </w:r>
      <w:r>
        <w:rPr>
          <w:spacing w:val="60"/>
        </w:rPr>
        <w:t> </w:t>
      </w:r>
      <w:r>
        <w:rPr>
          <w:rFonts w:ascii="Arial" w:eastAsia="Arial"/>
        </w:rPr>
        <w:t>1</w:t>
      </w:r>
      <w:r>
        <w:rPr>
          <w:rFonts w:ascii="Arial" w:eastAsia="Arial"/>
          <w:spacing w:val="-1"/>
        </w:rPr>
        <w:t> </w:t>
      </w:r>
      <w:r>
        <w:rPr/>
        <w:t>有伤残</w:t>
      </w:r>
      <w:r>
        <w:rPr>
          <w:spacing w:val="-20"/>
        </w:rPr>
        <w:t> </w:t>
      </w:r>
      <w:r>
        <w:rPr>
          <w:rFonts w:ascii="Arial" w:eastAsia="Arial"/>
        </w:rPr>
        <w:t>3</w:t>
      </w:r>
    </w:p>
    <w:p>
      <w:pPr>
        <w:pStyle w:val="BodyText"/>
        <w:tabs>
          <w:tab w:pos="6379" w:val="left" w:leader="none"/>
        </w:tabs>
        <w:spacing w:before="119"/>
        <w:ind w:left="1260"/>
        <w:rPr>
          <w:rFonts w:ascii="Arial" w:eastAsia="Arial"/>
        </w:rPr>
      </w:pPr>
      <w:r>
        <w:rPr/>
        <w:t>极不可能</w:t>
      </w:r>
      <w:r>
        <w:rPr>
          <w:spacing w:val="38"/>
        </w:rPr>
        <w:t> </w:t>
      </w:r>
      <w:r>
        <w:rPr>
          <w:rFonts w:ascii="Arial" w:eastAsia="Arial"/>
        </w:rPr>
        <w:t>0.2</w:t>
      </w:r>
      <w:r>
        <w:rPr>
          <w:rFonts w:ascii="Arial" w:eastAsia="Arial"/>
          <w:spacing w:val="57"/>
        </w:rPr>
        <w:t> </w:t>
      </w:r>
      <w:r>
        <w:rPr/>
        <w:t>非常罕见地暴露</w:t>
        <w:tab/>
      </w:r>
      <w:r>
        <w:rPr>
          <w:rFonts w:ascii="Arial" w:eastAsia="Arial"/>
        </w:rPr>
        <w:t>0.5</w:t>
      </w:r>
      <w:r>
        <w:rPr>
          <w:rFonts w:ascii="Arial" w:eastAsia="Arial"/>
          <w:spacing w:val="77"/>
        </w:rPr>
        <w:t> </w:t>
      </w:r>
      <w:r>
        <w:rPr/>
        <w:t>轻伤，需救护</w:t>
      </w:r>
      <w:r>
        <w:rPr>
          <w:spacing w:val="78"/>
        </w:rPr>
        <w:t> </w:t>
      </w:r>
      <w:r>
        <w:rPr>
          <w:rFonts w:ascii="Arial" w:eastAsia="Arial"/>
        </w:rPr>
        <w:t>1</w:t>
      </w:r>
    </w:p>
    <w:p>
      <w:pPr>
        <w:pStyle w:val="BodyText"/>
        <w:spacing w:before="118"/>
        <w:ind w:left="880"/>
        <w:rPr>
          <w:rFonts w:ascii="Arial" w:eastAsia="Arial"/>
        </w:rPr>
      </w:pPr>
      <w:r>
        <w:rPr/>
        <w:t>实际上不可能 </w:t>
      </w:r>
      <w:r>
        <w:rPr>
          <w:rFonts w:ascii="Arial" w:eastAsia="Arial"/>
        </w:rPr>
        <w:t>0.1</w:t>
      </w:r>
    </w:p>
    <w:p>
      <w:pPr>
        <w:pStyle w:val="BodyText"/>
        <w:rPr>
          <w:rFonts w:ascii="Arial"/>
          <w:sz w:val="42"/>
        </w:rPr>
      </w:pPr>
      <w:r>
        <w:rPr/>
        <w:br w:type="column"/>
      </w:r>
      <w:r>
        <w:rPr>
          <w:rFonts w:ascii="Arial"/>
          <w:sz w:val="42"/>
        </w:rPr>
      </w:r>
    </w:p>
    <w:p>
      <w:pPr>
        <w:pStyle w:val="BodyText"/>
        <w:rPr>
          <w:rFonts w:ascii="Arial"/>
          <w:sz w:val="42"/>
        </w:rPr>
      </w:pPr>
    </w:p>
    <w:p>
      <w:pPr>
        <w:pStyle w:val="BodyText"/>
        <w:rPr>
          <w:rFonts w:ascii="Arial"/>
          <w:sz w:val="42"/>
        </w:rPr>
      </w:pPr>
    </w:p>
    <w:p>
      <w:pPr>
        <w:pStyle w:val="BodyText"/>
        <w:rPr>
          <w:rFonts w:ascii="Arial"/>
          <w:sz w:val="42"/>
        </w:rPr>
      </w:pPr>
    </w:p>
    <w:p>
      <w:pPr>
        <w:pStyle w:val="BodyText"/>
        <w:spacing w:before="1"/>
        <w:rPr>
          <w:rFonts w:ascii="Arial"/>
          <w:sz w:val="51"/>
        </w:rPr>
      </w:pPr>
    </w:p>
    <w:p>
      <w:pPr>
        <w:pStyle w:val="BodyText"/>
        <w:ind w:left="100"/>
      </w:pPr>
      <w:r>
        <w:rPr/>
        <w:t>（</w:t>
      </w:r>
      <w:r>
        <w:rPr>
          <w:rFonts w:ascii="Arial" w:eastAsia="Arial"/>
        </w:rPr>
        <w:t>C</w:t>
      </w:r>
      <w:r>
        <w:rPr/>
        <w:t>）</w:t>
      </w:r>
    </w:p>
    <w:p>
      <w:pPr>
        <w:pStyle w:val="BodyText"/>
        <w:spacing w:before="119"/>
        <w:ind w:right="119"/>
        <w:jc w:val="right"/>
      </w:pPr>
      <w:r>
        <w:rPr/>
        <w:t>分</w:t>
      </w:r>
    </w:p>
    <w:p>
      <w:pPr>
        <w:spacing w:after="0"/>
        <w:jc w:val="right"/>
        <w:sectPr>
          <w:type w:val="continuous"/>
          <w:pgSz w:w="19680" w:h="25480"/>
          <w:pgMar w:top="2400" w:bottom="280" w:left="2140" w:right="2280"/>
          <w:cols w:num="2" w:equalWidth="0">
            <w:col w:w="11621" w:space="739"/>
            <w:col w:w="2900"/>
          </w:cols>
        </w:sectPr>
      </w:pPr>
    </w:p>
    <w:p>
      <w:pPr>
        <w:pStyle w:val="BodyText"/>
        <w:tabs>
          <w:tab w:pos="6959" w:val="left" w:leader="none"/>
        </w:tabs>
        <w:spacing w:line="290" w:lineRule="auto" w:before="119"/>
        <w:ind w:left="3580" w:right="5419" w:firstLine="2320"/>
      </w:pPr>
      <w:r>
        <w:rPr/>
        <w:t>表</w:t>
      </w:r>
      <w:r>
        <w:rPr>
          <w:spacing w:val="-60"/>
        </w:rPr>
        <w:t> </w:t>
      </w:r>
      <w:r>
        <w:rPr>
          <w:rFonts w:ascii="Arial" w:eastAsia="Arial"/>
        </w:rPr>
        <w:t>3</w:t>
        <w:tab/>
      </w:r>
      <w:r>
        <w:rPr/>
        <w:t>危险等级划分标准危险性分值危险程度</w:t>
      </w:r>
    </w:p>
    <w:p>
      <w:pPr>
        <w:pStyle w:val="BodyText"/>
        <w:spacing w:before="4"/>
        <w:ind w:left="3960"/>
      </w:pPr>
      <w:r>
        <w:rPr/>
        <w:t>≥</w:t>
      </w:r>
      <w:r>
        <w:rPr>
          <w:rFonts w:ascii="Arial" w:hAnsi="Arial" w:eastAsia="Arial"/>
        </w:rPr>
        <w:t>320 </w:t>
      </w:r>
      <w:r>
        <w:rPr/>
        <w:t>极度危险，不能继续作业</w:t>
      </w:r>
    </w:p>
    <w:p>
      <w:pPr>
        <w:spacing w:after="0"/>
        <w:sectPr>
          <w:type w:val="continuous"/>
          <w:pgSz w:w="19680" w:h="25480"/>
          <w:pgMar w:top="2400" w:bottom="280" w:left="2140" w:right="2280"/>
        </w:sectPr>
      </w:pPr>
    </w:p>
    <w:p>
      <w:pPr>
        <w:pStyle w:val="BodyText"/>
        <w:spacing w:before="40"/>
        <w:ind w:left="2800"/>
      </w:pPr>
      <w:r>
        <w:rPr>
          <w:spacing w:val="-5"/>
        </w:rPr>
        <w:t>≥</w:t>
      </w:r>
      <w:r>
        <w:rPr>
          <w:rFonts w:ascii="Arial" w:hAnsi="Arial" w:eastAsia="Arial"/>
          <w:spacing w:val="-5"/>
        </w:rPr>
        <w:t>160</w:t>
      </w:r>
      <w:r>
        <w:rPr>
          <w:spacing w:val="-5"/>
        </w:rPr>
        <w:t>～</w:t>
      </w:r>
      <w:r>
        <w:rPr>
          <w:spacing w:val="-120"/>
        </w:rPr>
        <w:t> </w:t>
      </w:r>
      <w:r>
        <w:rPr>
          <w:rFonts w:ascii="Arial" w:hAnsi="Arial" w:eastAsia="Arial"/>
        </w:rPr>
        <w:t>320 </w:t>
      </w:r>
      <w:r>
        <w:rPr/>
        <w:t>高度危险，需立即整改</w:t>
      </w:r>
    </w:p>
    <w:p>
      <w:pPr>
        <w:pStyle w:val="BodyText"/>
        <w:spacing w:before="98"/>
        <w:ind w:left="2800"/>
      </w:pPr>
      <w:r>
        <w:rPr/>
        <w:t>≥</w:t>
      </w:r>
      <w:r>
        <w:rPr>
          <w:rFonts w:ascii="Arial" w:hAnsi="Arial" w:eastAsia="Arial"/>
        </w:rPr>
        <w:t>70</w:t>
      </w:r>
      <w:r>
        <w:rPr/>
        <w:t>～</w:t>
      </w:r>
      <w:r>
        <w:rPr>
          <w:spacing w:val="-141"/>
        </w:rPr>
        <w:t> </w:t>
      </w:r>
      <w:r>
        <w:rPr>
          <w:rFonts w:ascii="Arial" w:hAnsi="Arial" w:eastAsia="Arial"/>
        </w:rPr>
        <w:t>160 </w:t>
      </w:r>
      <w:r>
        <w:rPr/>
        <w:t>显著危险，需要整改</w:t>
      </w:r>
    </w:p>
    <w:p>
      <w:pPr>
        <w:pStyle w:val="BodyText"/>
        <w:spacing w:before="119"/>
        <w:ind w:left="2800"/>
      </w:pPr>
      <w:r>
        <w:rPr/>
        <w:t>≥</w:t>
      </w:r>
      <w:r>
        <w:rPr>
          <w:rFonts w:ascii="Arial" w:hAnsi="Arial" w:eastAsia="Arial"/>
        </w:rPr>
        <w:t>20</w:t>
      </w:r>
      <w:r>
        <w:rPr/>
        <w:t>～</w:t>
      </w:r>
      <w:r>
        <w:rPr>
          <w:spacing w:val="-141"/>
        </w:rPr>
        <w:t> </w:t>
      </w:r>
      <w:r>
        <w:rPr>
          <w:rFonts w:ascii="Arial" w:hAnsi="Arial" w:eastAsia="Arial"/>
        </w:rPr>
        <w:t>70 </w:t>
      </w:r>
      <w:r>
        <w:rPr/>
        <w:t>比较危险，需要注意</w:t>
      </w:r>
    </w:p>
    <w:p>
      <w:pPr>
        <w:pStyle w:val="BodyText"/>
        <w:spacing w:before="119"/>
        <w:ind w:right="4739"/>
        <w:jc w:val="center"/>
      </w:pPr>
      <w:r>
        <w:rPr/>
        <w:t>＜</w:t>
      </w:r>
      <w:r>
        <w:rPr>
          <w:rFonts w:ascii="Arial" w:eastAsia="Arial"/>
        </w:rPr>
        <w:t>20 </w:t>
      </w:r>
      <w:r>
        <w:rPr/>
        <w:t>稍有危险，可以接受</w:t>
      </w:r>
    </w:p>
    <w:p>
      <w:pPr>
        <w:pStyle w:val="BodyText"/>
        <w:tabs>
          <w:tab w:pos="3299" w:val="left" w:leader="none"/>
        </w:tabs>
        <w:spacing w:line="297" w:lineRule="auto" w:before="119"/>
        <w:ind w:left="100" w:right="1599" w:firstLine="780"/>
      </w:pPr>
      <w:r>
        <w:rPr/>
        <w:t>作业条件危险性评价法评价人们在某种具有潜在危险环境中进行作业的危险程  度，该方法简单易行，危险程度的级别划分比较清晰、醒目。但是，由于它主要是根据时间经验来确定</w:t>
        <w:tab/>
      </w:r>
      <w:r>
        <w:rPr>
          <w:rFonts w:ascii="Arial" w:eastAsia="Arial"/>
        </w:rPr>
        <w:t>3</w:t>
      </w:r>
      <w:r>
        <w:rPr>
          <w:rFonts w:ascii="Arial" w:eastAsia="Arial"/>
          <w:spacing w:val="-21"/>
        </w:rPr>
        <w:t> </w:t>
      </w:r>
      <w:r>
        <w:rPr/>
        <w:t>个因素的分数值，因此，评价结果的准确性会受到经验和判断能力的影响。</w:t>
      </w:r>
    </w:p>
    <w:p>
      <w:pPr>
        <w:pStyle w:val="Heading1"/>
        <w:numPr>
          <w:ilvl w:val="1"/>
          <w:numId w:val="3"/>
        </w:numPr>
        <w:tabs>
          <w:tab w:pos="999" w:val="left" w:leader="none"/>
          <w:tab w:pos="1000" w:val="left" w:leader="none"/>
        </w:tabs>
        <w:spacing w:line="240" w:lineRule="auto" w:before="12" w:after="0"/>
        <w:ind w:left="1000" w:right="0" w:hanging="667"/>
        <w:jc w:val="left"/>
      </w:pPr>
      <w:r>
        <w:rPr/>
        <w:t>风险削减与控制措施</w:t>
      </w:r>
    </w:p>
    <w:p>
      <w:pPr>
        <w:pStyle w:val="BodyText"/>
        <w:tabs>
          <w:tab w:pos="6779" w:val="left" w:leader="none"/>
        </w:tabs>
        <w:spacing w:before="122"/>
        <w:ind w:left="880"/>
      </w:pPr>
      <w:r>
        <w:rPr/>
        <w:t>危害辨识、风险评价的过程是一个</w:t>
        <w:tab/>
      </w:r>
      <w:r>
        <w:rPr>
          <w:rFonts w:ascii="Arial" w:eastAsia="Arial"/>
          <w:spacing w:val="-36"/>
        </w:rPr>
        <w:t>PDCA</w:t>
      </w:r>
      <w:r>
        <w:rPr/>
        <w:t>循环的过程。</w:t>
      </w:r>
    </w:p>
    <w:p>
      <w:pPr>
        <w:pStyle w:val="BodyText"/>
        <w:spacing w:before="6"/>
        <w:rPr>
          <w:sz w:val="54"/>
        </w:rPr>
      </w:pPr>
    </w:p>
    <w:p>
      <w:pPr>
        <w:pStyle w:val="ListParagraph"/>
        <w:numPr>
          <w:ilvl w:val="2"/>
          <w:numId w:val="3"/>
        </w:numPr>
        <w:tabs>
          <w:tab w:pos="1639" w:val="left" w:leader="none"/>
          <w:tab w:pos="1640" w:val="left" w:leader="none"/>
        </w:tabs>
        <w:spacing w:line="240" w:lineRule="auto" w:before="1" w:after="0"/>
        <w:ind w:left="1640" w:right="0" w:hanging="1140"/>
        <w:jc w:val="left"/>
        <w:rPr>
          <w:sz w:val="36"/>
        </w:rPr>
      </w:pPr>
      <w:r>
        <w:rPr>
          <w:sz w:val="36"/>
        </w:rPr>
        <w:t>加强管理，制定相应制度、措施，以利于风险控制措施的落实。</w:t>
      </w:r>
    </w:p>
    <w:p>
      <w:pPr>
        <w:pStyle w:val="BodyText"/>
        <w:spacing w:line="302" w:lineRule="auto" w:before="118"/>
        <w:ind w:left="100" w:right="1119" w:firstLine="780"/>
      </w:pPr>
      <w:r>
        <w:rPr/>
        <w:t>针对不同的风险点需制定相应的制度，这更有利于风险的控制。加油站常用的制  度包括上墙制度（明火制度、安全用电制度），公司安全生产责任制度，设备管理制度，数质量管理制度，特种作业票管理制度，公司铅封管理制度等制度，都是对加油站的</w:t>
      </w:r>
    </w:p>
    <w:p>
      <w:pPr>
        <w:pStyle w:val="BodyText"/>
        <w:spacing w:line="438" w:lineRule="exact"/>
        <w:ind w:left="100"/>
      </w:pPr>
      <w:r>
        <w:rPr/>
        <w:t>各个工作点进一步规范，防范风险事故的发生。</w:t>
      </w:r>
    </w:p>
    <w:p>
      <w:pPr>
        <w:pStyle w:val="BodyText"/>
        <w:spacing w:line="302" w:lineRule="auto" w:before="119"/>
        <w:ind w:left="100" w:right="1479" w:firstLine="780"/>
      </w:pPr>
      <w:r>
        <w:rPr/>
        <w:t>为了确保有效的控制风险，公司在制定制度的同时，需对各种可能发生的事故制定相对应的应急预案。如：加油站着火爆炸事故的发生，需制定《加油站着火爆炸突 发事件专项应急预案》，确保事故得到有效处理，人员伤害、财产损失、社会影响降到最低。</w:t>
      </w:r>
    </w:p>
    <w:p>
      <w:pPr>
        <w:pStyle w:val="ListParagraph"/>
        <w:numPr>
          <w:ilvl w:val="2"/>
          <w:numId w:val="3"/>
        </w:numPr>
        <w:tabs>
          <w:tab w:pos="1639" w:val="left" w:leader="none"/>
          <w:tab w:pos="1640" w:val="left" w:leader="none"/>
        </w:tabs>
        <w:spacing w:line="457" w:lineRule="exact" w:before="0" w:after="0"/>
        <w:ind w:left="1640" w:right="0" w:hanging="1140"/>
        <w:jc w:val="left"/>
        <w:rPr>
          <w:sz w:val="36"/>
        </w:rPr>
      </w:pPr>
      <w:r>
        <w:rPr>
          <w:sz w:val="36"/>
        </w:rPr>
        <w:t>加强对加油站风险的监督、检查与检测。</w:t>
      </w:r>
    </w:p>
    <w:p>
      <w:pPr>
        <w:pStyle w:val="BodyText"/>
        <w:spacing w:before="119"/>
        <w:ind w:left="880"/>
      </w:pPr>
      <w:r>
        <w:rPr/>
        <w:t>加油站的月度安全检查、专项检查、夜间稽查及加油机付油率检查等，都是发现</w:t>
      </w:r>
    </w:p>
    <w:p>
      <w:pPr>
        <w:spacing w:before="99"/>
        <w:ind w:left="1480" w:right="0" w:firstLine="0"/>
        <w:jc w:val="left"/>
        <w:rPr>
          <w:sz w:val="30"/>
        </w:rPr>
      </w:pPr>
      <w:r>
        <w:rPr>
          <w:sz w:val="30"/>
        </w:rPr>
        <w:t>审查改善危害辨识</w:t>
      </w:r>
    </w:p>
    <w:p>
      <w:pPr>
        <w:spacing w:after="0"/>
        <w:jc w:val="left"/>
        <w:rPr>
          <w:sz w:val="30"/>
        </w:rPr>
        <w:sectPr>
          <w:pgSz w:w="19680" w:h="25480"/>
          <w:pgMar w:top="2340" w:bottom="280" w:left="2140" w:right="2280"/>
        </w:sectPr>
      </w:pPr>
    </w:p>
    <w:p>
      <w:pPr>
        <w:pStyle w:val="BodyText"/>
        <w:rPr>
          <w:sz w:val="48"/>
        </w:rPr>
      </w:pPr>
    </w:p>
    <w:p>
      <w:pPr>
        <w:spacing w:before="0"/>
        <w:ind w:left="0" w:right="1179" w:firstLine="0"/>
        <w:jc w:val="right"/>
        <w:rPr>
          <w:sz w:val="30"/>
        </w:rPr>
      </w:pPr>
      <w:r>
        <w:rPr>
          <w:sz w:val="30"/>
        </w:rPr>
        <w:t>持续改进</w:t>
      </w:r>
    </w:p>
    <w:p>
      <w:pPr>
        <w:spacing w:before="135"/>
        <w:ind w:left="767" w:right="0" w:firstLine="0"/>
        <w:jc w:val="left"/>
        <w:rPr>
          <w:rFonts w:ascii="Arial"/>
          <w:sz w:val="30"/>
        </w:rPr>
      </w:pPr>
      <w:r>
        <w:rPr>
          <w:rFonts w:ascii="Arial"/>
          <w:sz w:val="30"/>
        </w:rPr>
        <w:t>D</w:t>
      </w:r>
    </w:p>
    <w:p>
      <w:pPr>
        <w:spacing w:before="175"/>
        <w:ind w:left="0" w:right="1599" w:firstLine="0"/>
        <w:jc w:val="right"/>
        <w:rPr>
          <w:rFonts w:ascii="Arial"/>
          <w:sz w:val="30"/>
        </w:rPr>
      </w:pPr>
      <w:r>
        <w:rPr>
          <w:rFonts w:ascii="Arial"/>
          <w:sz w:val="30"/>
        </w:rPr>
        <w:t>P</w:t>
      </w:r>
    </w:p>
    <w:p>
      <w:pPr>
        <w:spacing w:line="362" w:lineRule="auto" w:before="135"/>
        <w:ind w:left="767" w:right="7237" w:firstLine="0"/>
        <w:jc w:val="left"/>
        <w:rPr>
          <w:rFonts w:ascii="Arial"/>
          <w:sz w:val="30"/>
        </w:rPr>
      </w:pPr>
      <w:r>
        <w:rPr>
          <w:rFonts w:ascii="Arial"/>
          <w:sz w:val="30"/>
        </w:rPr>
        <w:t>C A</w:t>
      </w:r>
    </w:p>
    <w:p>
      <w:pPr>
        <w:spacing w:line="344" w:lineRule="exact" w:before="0"/>
        <w:ind w:left="0" w:right="38" w:firstLine="0"/>
        <w:jc w:val="right"/>
        <w:rPr>
          <w:sz w:val="30"/>
        </w:rPr>
      </w:pPr>
      <w:r>
        <w:rPr>
          <w:sz w:val="30"/>
        </w:rPr>
        <w:t>否</w:t>
      </w:r>
    </w:p>
    <w:p>
      <w:pPr>
        <w:spacing w:before="95"/>
        <w:ind w:left="1467" w:right="0" w:firstLine="0"/>
        <w:jc w:val="left"/>
        <w:rPr>
          <w:sz w:val="30"/>
        </w:rPr>
      </w:pPr>
      <w:r>
        <w:rPr/>
        <w:br w:type="column"/>
      </w:r>
      <w:r>
        <w:rPr>
          <w:sz w:val="30"/>
        </w:rPr>
        <w:t>风险评价检查纠正</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11"/>
        <w:rPr>
          <w:sz w:val="43"/>
        </w:rPr>
      </w:pPr>
    </w:p>
    <w:p>
      <w:pPr>
        <w:spacing w:before="0"/>
        <w:ind w:left="767" w:right="0" w:firstLine="0"/>
        <w:jc w:val="left"/>
        <w:rPr>
          <w:sz w:val="30"/>
        </w:rPr>
      </w:pPr>
      <w:r>
        <w:rPr>
          <w:sz w:val="30"/>
        </w:rPr>
        <w:t>是</w:t>
      </w:r>
    </w:p>
    <w:p>
      <w:pPr>
        <w:spacing w:after="0"/>
        <w:jc w:val="left"/>
        <w:rPr>
          <w:sz w:val="30"/>
        </w:rPr>
        <w:sectPr>
          <w:type w:val="continuous"/>
          <w:pgSz w:w="19680" w:h="25480"/>
          <w:pgMar w:top="2400" w:bottom="280" w:left="2140" w:right="2280"/>
          <w:cols w:num="2" w:equalWidth="0">
            <w:col w:w="8241" w:space="552"/>
            <w:col w:w="6467"/>
          </w:cols>
        </w:sectPr>
      </w:pPr>
    </w:p>
    <w:p>
      <w:pPr>
        <w:tabs>
          <w:tab w:pos="836" w:val="left" w:leader="none"/>
        </w:tabs>
        <w:spacing w:before="96"/>
        <w:ind w:left="0" w:right="1839" w:firstLine="0"/>
        <w:jc w:val="center"/>
        <w:rPr>
          <w:sz w:val="30"/>
        </w:rPr>
      </w:pPr>
      <w:r>
        <w:rPr>
          <w:sz w:val="30"/>
        </w:rPr>
        <w:t>图</w:t>
      </w:r>
      <w:r>
        <w:rPr>
          <w:spacing w:val="-30"/>
          <w:sz w:val="30"/>
        </w:rPr>
        <w:t> </w:t>
      </w:r>
      <w:r>
        <w:rPr>
          <w:rFonts w:ascii="Arial" w:eastAsia="Arial"/>
          <w:sz w:val="30"/>
        </w:rPr>
        <w:t>1</w:t>
        <w:tab/>
        <w:t>PDCA </w:t>
      </w:r>
      <w:r>
        <w:rPr>
          <w:rFonts w:ascii="Arial" w:eastAsia="Arial"/>
          <w:spacing w:val="20"/>
          <w:sz w:val="30"/>
        </w:rPr>
        <w:t> </w:t>
      </w:r>
      <w:r>
        <w:rPr>
          <w:sz w:val="30"/>
        </w:rPr>
        <w:t>循环过程</w:t>
      </w:r>
    </w:p>
    <w:p>
      <w:pPr>
        <w:spacing w:after="0"/>
        <w:jc w:val="center"/>
        <w:rPr>
          <w:sz w:val="30"/>
        </w:rPr>
        <w:sectPr>
          <w:type w:val="continuous"/>
          <w:pgSz w:w="19680" w:h="25480"/>
          <w:pgMar w:top="2400" w:bottom="280" w:left="2140" w:right="2280"/>
        </w:sectPr>
      </w:pPr>
    </w:p>
    <w:p>
      <w:pPr>
        <w:pStyle w:val="BodyText"/>
        <w:spacing w:line="290" w:lineRule="auto" w:before="20"/>
        <w:ind w:left="100" w:right="1839"/>
      </w:pPr>
      <w:r>
        <w:rPr/>
        <w:t>问题的过程，包括发现加油站安全隐患排查，执行力问题，防范措施等方面，通过这些监督、检查，确保任何风险都能发现，能够及时采取有效措施，控制风险。</w:t>
      </w:r>
    </w:p>
    <w:p>
      <w:pPr>
        <w:pStyle w:val="Heading1"/>
        <w:numPr>
          <w:ilvl w:val="1"/>
          <w:numId w:val="3"/>
        </w:numPr>
        <w:tabs>
          <w:tab w:pos="999" w:val="left" w:leader="none"/>
          <w:tab w:pos="1000" w:val="left" w:leader="none"/>
        </w:tabs>
        <w:spacing w:line="240" w:lineRule="auto" w:before="23" w:after="0"/>
        <w:ind w:left="1000" w:right="0" w:hanging="667"/>
        <w:jc w:val="left"/>
      </w:pPr>
      <w:r>
        <w:rPr/>
        <w:t>结论</w:t>
      </w:r>
    </w:p>
    <w:p>
      <w:pPr>
        <w:pStyle w:val="BodyText"/>
        <w:spacing w:line="302" w:lineRule="auto" w:before="142"/>
        <w:ind w:left="100" w:right="1779" w:firstLine="780"/>
        <w:jc w:val="both"/>
      </w:pPr>
      <w:r>
        <w:rPr/>
        <w:t>管工作必管安全，安全是企业经营发展的基础和保障，为企业的快速发展保驾护航。加油站的风险管理就是一个风险辨识、风险评价和风险控制的过程，风险无处不在，只有了解加油站存在的风险，才能采取有效的措施控制风险，才能保证加油站的安全经营。有风险并不可怕，可怕的是有风险但不能发现风险，加强加油站的监督检查，清除安全隐患，排除风险，是保证加油站的安全平稳经营的有效途径。</w:t>
      </w:r>
    </w:p>
    <w:sectPr>
      <w:pgSz w:w="19680" w:h="25480"/>
      <w:pgMar w:top="2360" w:bottom="280" w:left="2140" w:right="22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decimal"/>
      <w:lvlText w:val="%1"/>
      <w:lvlJc w:val="left"/>
      <w:pPr>
        <w:ind w:left="480" w:hanging="380"/>
        <w:jc w:val="left"/>
      </w:pPr>
      <w:rPr>
        <w:rFonts w:hint="default" w:ascii="Arial" w:hAnsi="Arial" w:eastAsia="Arial" w:cs="Arial"/>
        <w:spacing w:val="-21"/>
        <w:w w:val="100"/>
        <w:sz w:val="36"/>
        <w:szCs w:val="36"/>
      </w:rPr>
    </w:lvl>
    <w:lvl w:ilvl="1">
      <w:start w:val="4"/>
      <w:numFmt w:val="decimal"/>
      <w:lvlText w:val="%2"/>
      <w:lvlJc w:val="left"/>
      <w:pPr>
        <w:ind w:left="1000" w:hanging="667"/>
        <w:jc w:val="left"/>
      </w:pPr>
      <w:rPr>
        <w:rFonts w:hint="default" w:ascii="Arial" w:hAnsi="Arial" w:eastAsia="Arial" w:cs="Arial"/>
        <w:w w:val="100"/>
        <w:sz w:val="42"/>
        <w:szCs w:val="42"/>
      </w:rPr>
    </w:lvl>
    <w:lvl w:ilvl="2">
      <w:start w:val="1"/>
      <w:numFmt w:val="decimal"/>
      <w:lvlText w:val="%2.%3"/>
      <w:lvlJc w:val="left"/>
      <w:pPr>
        <w:ind w:left="1640" w:hanging="1140"/>
        <w:jc w:val="left"/>
      </w:pPr>
      <w:rPr>
        <w:rFonts w:hint="default" w:ascii="Arial" w:hAnsi="Arial" w:eastAsia="Arial" w:cs="Arial"/>
        <w:spacing w:val="-1"/>
        <w:w w:val="100"/>
        <w:sz w:val="36"/>
        <w:szCs w:val="36"/>
      </w:rPr>
    </w:lvl>
    <w:lvl w:ilvl="3">
      <w:start w:val="0"/>
      <w:numFmt w:val="bullet"/>
      <w:lvlText w:val="•"/>
      <w:lvlJc w:val="left"/>
      <w:pPr>
        <w:ind w:left="2497" w:hanging="1140"/>
      </w:pPr>
      <w:rPr>
        <w:rFonts w:hint="default"/>
      </w:rPr>
    </w:lvl>
    <w:lvl w:ilvl="4">
      <w:start w:val="0"/>
      <w:numFmt w:val="bullet"/>
      <w:lvlText w:val="•"/>
      <w:lvlJc w:val="left"/>
      <w:pPr>
        <w:ind w:left="3355" w:hanging="1140"/>
      </w:pPr>
      <w:rPr>
        <w:rFonts w:hint="default"/>
      </w:rPr>
    </w:lvl>
    <w:lvl w:ilvl="5">
      <w:start w:val="0"/>
      <w:numFmt w:val="bullet"/>
      <w:lvlText w:val="•"/>
      <w:lvlJc w:val="left"/>
      <w:pPr>
        <w:ind w:left="4212" w:hanging="1140"/>
      </w:pPr>
      <w:rPr>
        <w:rFonts w:hint="default"/>
      </w:rPr>
    </w:lvl>
    <w:lvl w:ilvl="6">
      <w:start w:val="0"/>
      <w:numFmt w:val="bullet"/>
      <w:lvlText w:val="•"/>
      <w:lvlJc w:val="left"/>
      <w:pPr>
        <w:ind w:left="5070" w:hanging="1140"/>
      </w:pPr>
      <w:rPr>
        <w:rFonts w:hint="default"/>
      </w:rPr>
    </w:lvl>
    <w:lvl w:ilvl="7">
      <w:start w:val="0"/>
      <w:numFmt w:val="bullet"/>
      <w:lvlText w:val="•"/>
      <w:lvlJc w:val="left"/>
      <w:pPr>
        <w:ind w:left="5927" w:hanging="1140"/>
      </w:pPr>
      <w:rPr>
        <w:rFonts w:hint="default"/>
      </w:rPr>
    </w:lvl>
    <w:lvl w:ilvl="8">
      <w:start w:val="0"/>
      <w:numFmt w:val="bullet"/>
      <w:lvlText w:val="•"/>
      <w:lvlJc w:val="left"/>
      <w:pPr>
        <w:ind w:left="6785" w:hanging="1140"/>
      </w:pPr>
      <w:rPr>
        <w:rFonts w:hint="default"/>
      </w:rPr>
    </w:lvl>
  </w:abstractNum>
  <w:abstractNum w:abstractNumId="1">
    <w:multiLevelType w:val="hybridMultilevel"/>
    <w:lvl w:ilvl="0">
      <w:start w:val="2"/>
      <w:numFmt w:val="decimal"/>
      <w:lvlText w:val="%1"/>
      <w:lvlJc w:val="left"/>
      <w:pPr>
        <w:ind w:left="1640" w:hanging="1140"/>
        <w:jc w:val="right"/>
      </w:pPr>
      <w:rPr>
        <w:rFonts w:hint="default"/>
      </w:rPr>
    </w:lvl>
    <w:lvl w:ilvl="1">
      <w:start w:val="1"/>
      <w:numFmt w:val="decimal"/>
      <w:lvlText w:val="%1.%2"/>
      <w:lvlJc w:val="left"/>
      <w:pPr>
        <w:ind w:left="1640" w:hanging="1140"/>
        <w:jc w:val="left"/>
      </w:pPr>
      <w:rPr>
        <w:rFonts w:hint="default" w:ascii="Arial" w:hAnsi="Arial" w:eastAsia="Arial" w:cs="Arial"/>
        <w:spacing w:val="-1"/>
        <w:w w:val="100"/>
        <w:sz w:val="36"/>
        <w:szCs w:val="36"/>
      </w:rPr>
    </w:lvl>
    <w:lvl w:ilvl="2">
      <w:start w:val="1"/>
      <w:numFmt w:val="decimal"/>
      <w:lvlText w:val="%1.%2.%3"/>
      <w:lvlJc w:val="left"/>
      <w:pPr>
        <w:ind w:left="2040" w:hanging="1540"/>
        <w:jc w:val="right"/>
      </w:pPr>
      <w:rPr>
        <w:rFonts w:hint="default" w:ascii="Arial" w:hAnsi="Arial" w:eastAsia="Arial" w:cs="Arial"/>
        <w:spacing w:val="-1"/>
        <w:w w:val="100"/>
        <w:sz w:val="36"/>
        <w:szCs w:val="36"/>
      </w:rPr>
    </w:lvl>
    <w:lvl w:ilvl="3">
      <w:start w:val="0"/>
      <w:numFmt w:val="bullet"/>
      <w:lvlText w:val="•"/>
      <w:lvlJc w:val="left"/>
      <w:pPr>
        <w:ind w:left="2260" w:hanging="1540"/>
      </w:pPr>
      <w:rPr>
        <w:rFonts w:hint="default"/>
      </w:rPr>
    </w:lvl>
    <w:lvl w:ilvl="4">
      <w:start w:val="0"/>
      <w:numFmt w:val="bullet"/>
      <w:lvlText w:val="•"/>
      <w:lvlJc w:val="left"/>
      <w:pPr>
        <w:ind w:left="3983" w:hanging="1540"/>
      </w:pPr>
      <w:rPr>
        <w:rFonts w:hint="default"/>
      </w:rPr>
    </w:lvl>
    <w:lvl w:ilvl="5">
      <w:start w:val="0"/>
      <w:numFmt w:val="bullet"/>
      <w:lvlText w:val="•"/>
      <w:lvlJc w:val="left"/>
      <w:pPr>
        <w:ind w:left="5707" w:hanging="1540"/>
      </w:pPr>
      <w:rPr>
        <w:rFonts w:hint="default"/>
      </w:rPr>
    </w:lvl>
    <w:lvl w:ilvl="6">
      <w:start w:val="0"/>
      <w:numFmt w:val="bullet"/>
      <w:lvlText w:val="•"/>
      <w:lvlJc w:val="left"/>
      <w:pPr>
        <w:ind w:left="7431" w:hanging="1540"/>
      </w:pPr>
      <w:rPr>
        <w:rFonts w:hint="default"/>
      </w:rPr>
    </w:lvl>
    <w:lvl w:ilvl="7">
      <w:start w:val="0"/>
      <w:numFmt w:val="bullet"/>
      <w:lvlText w:val="•"/>
      <w:lvlJc w:val="left"/>
      <w:pPr>
        <w:ind w:left="9154" w:hanging="1540"/>
      </w:pPr>
      <w:rPr>
        <w:rFonts w:hint="default"/>
      </w:rPr>
    </w:lvl>
    <w:lvl w:ilvl="8">
      <w:start w:val="0"/>
      <w:numFmt w:val="bullet"/>
      <w:lvlText w:val="•"/>
      <w:lvlJc w:val="left"/>
      <w:pPr>
        <w:ind w:left="10878" w:hanging="1540"/>
      </w:pPr>
      <w:rPr>
        <w:rFonts w:hint="default"/>
      </w:rPr>
    </w:lvl>
  </w:abstractNum>
  <w:abstractNum w:abstractNumId="0">
    <w:multiLevelType w:val="hybridMultilevel"/>
    <w:lvl w:ilvl="0">
      <w:start w:val="1"/>
      <w:numFmt w:val="decimal"/>
      <w:lvlText w:val="%1"/>
      <w:lvlJc w:val="left"/>
      <w:pPr>
        <w:ind w:left="1640" w:hanging="1140"/>
        <w:jc w:val="right"/>
      </w:pPr>
      <w:rPr>
        <w:rFonts w:hint="default"/>
      </w:rPr>
    </w:lvl>
    <w:lvl w:ilvl="1">
      <w:start w:val="2"/>
      <w:numFmt w:val="decimal"/>
      <w:lvlText w:val="%1.%2"/>
      <w:lvlJc w:val="left"/>
      <w:pPr>
        <w:ind w:left="1640" w:hanging="1140"/>
        <w:jc w:val="left"/>
      </w:pPr>
      <w:rPr>
        <w:rFonts w:hint="default" w:ascii="Arial" w:hAnsi="Arial" w:eastAsia="Arial" w:cs="Arial"/>
        <w:spacing w:val="-1"/>
        <w:w w:val="100"/>
        <w:sz w:val="36"/>
        <w:szCs w:val="36"/>
      </w:rPr>
    </w:lvl>
    <w:lvl w:ilvl="2">
      <w:start w:val="1"/>
      <w:numFmt w:val="decimal"/>
      <w:lvlText w:val="%1.%2.%3"/>
      <w:lvlJc w:val="left"/>
      <w:pPr>
        <w:ind w:left="2040" w:hanging="1540"/>
        <w:jc w:val="left"/>
      </w:pPr>
      <w:rPr>
        <w:rFonts w:hint="default" w:ascii="Arial" w:hAnsi="Arial" w:eastAsia="Arial" w:cs="Arial"/>
        <w:spacing w:val="-1"/>
        <w:w w:val="100"/>
        <w:sz w:val="36"/>
        <w:szCs w:val="36"/>
      </w:rPr>
    </w:lvl>
    <w:lvl w:ilvl="3">
      <w:start w:val="0"/>
      <w:numFmt w:val="bullet"/>
      <w:lvlText w:val="•"/>
      <w:lvlJc w:val="left"/>
      <w:pPr>
        <w:ind w:left="4977" w:hanging="1540"/>
      </w:pPr>
      <w:rPr>
        <w:rFonts w:hint="default"/>
      </w:rPr>
    </w:lvl>
    <w:lvl w:ilvl="4">
      <w:start w:val="0"/>
      <w:numFmt w:val="bullet"/>
      <w:lvlText w:val="•"/>
      <w:lvlJc w:val="left"/>
      <w:pPr>
        <w:ind w:left="6446" w:hanging="1540"/>
      </w:pPr>
      <w:rPr>
        <w:rFonts w:hint="default"/>
      </w:rPr>
    </w:lvl>
    <w:lvl w:ilvl="5">
      <w:start w:val="0"/>
      <w:numFmt w:val="bullet"/>
      <w:lvlText w:val="•"/>
      <w:lvlJc w:val="left"/>
      <w:pPr>
        <w:ind w:left="7915" w:hanging="1540"/>
      </w:pPr>
      <w:rPr>
        <w:rFonts w:hint="default"/>
      </w:rPr>
    </w:lvl>
    <w:lvl w:ilvl="6">
      <w:start w:val="0"/>
      <w:numFmt w:val="bullet"/>
      <w:lvlText w:val="•"/>
      <w:lvlJc w:val="left"/>
      <w:pPr>
        <w:ind w:left="9384" w:hanging="1540"/>
      </w:pPr>
      <w:rPr>
        <w:rFonts w:hint="default"/>
      </w:rPr>
    </w:lvl>
    <w:lvl w:ilvl="7">
      <w:start w:val="0"/>
      <w:numFmt w:val="bullet"/>
      <w:lvlText w:val="•"/>
      <w:lvlJc w:val="left"/>
      <w:pPr>
        <w:ind w:left="10853" w:hanging="1540"/>
      </w:pPr>
      <w:rPr>
        <w:rFonts w:hint="default"/>
      </w:rPr>
    </w:lvl>
    <w:lvl w:ilvl="8">
      <w:start w:val="0"/>
      <w:numFmt w:val="bullet"/>
      <w:lvlText w:val="•"/>
      <w:lvlJc w:val="left"/>
      <w:pPr>
        <w:ind w:left="12322" w:hanging="1540"/>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rPr>
  </w:style>
  <w:style w:styleId="BodyText" w:type="paragraph">
    <w:name w:val="Body Text"/>
    <w:basedOn w:val="Normal"/>
    <w:uiPriority w:val="1"/>
    <w:qFormat/>
    <w:pPr/>
    <w:rPr>
      <w:rFonts w:ascii="宋体" w:hAnsi="宋体" w:eastAsia="宋体" w:cs="宋体"/>
      <w:sz w:val="36"/>
      <w:szCs w:val="36"/>
    </w:rPr>
  </w:style>
  <w:style w:styleId="Heading1" w:type="paragraph">
    <w:name w:val="Heading 1"/>
    <w:basedOn w:val="Normal"/>
    <w:uiPriority w:val="1"/>
    <w:qFormat/>
    <w:pPr>
      <w:ind w:left="1000" w:hanging="667"/>
      <w:outlineLvl w:val="1"/>
    </w:pPr>
    <w:rPr>
      <w:rFonts w:ascii="宋体" w:hAnsi="宋体" w:eastAsia="宋体" w:cs="宋体"/>
      <w:sz w:val="42"/>
      <w:szCs w:val="42"/>
    </w:rPr>
  </w:style>
  <w:style w:styleId="ListParagraph" w:type="paragraph">
    <w:name w:val="List Paragraph"/>
    <w:basedOn w:val="Normal"/>
    <w:uiPriority w:val="1"/>
    <w:qFormat/>
    <w:pPr>
      <w:spacing w:before="119"/>
      <w:ind w:left="480" w:hanging="380"/>
    </w:pPr>
    <w:rPr>
      <w:rFonts w:ascii="宋体" w:hAnsi="宋体" w:eastAsia="宋体" w:cs="宋体"/>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bingdian001.com</dc:creator>
  <cp:keywords>bingdian001.com</cp:keywords>
  <dc:subject>bingdian001.com</dc:subject>
  <dc:title>bingdian001.com</dc:title>
  <dcterms:created xsi:type="dcterms:W3CDTF">2020-08-06T07:39:57Z</dcterms:created>
  <dcterms:modified xsi:type="dcterms:W3CDTF">2020-08-06T07:39:57Z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2020-08-06T00:00:00Z</vt:filetime>
  </property>
  <property fmtid="{D5CDD505-2E9C-101B-9397-08002B2CF9AE}" pid="3" name="Creator">
    <vt:lpwstr>bingdian001.com</vt:lpwstr>
  </property>
  <property fmtid="{D5CDD505-2E9C-101B-9397-08002B2CF9AE}" pid="4" name="LastSaved">
    <vt:filetime>2020-08-06T00:00:00Z</vt:filetime>
  </property>
</Properties>
</file>