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ind w:left="120" w:right="0" w:firstLine="8368" w:firstLineChars="1900"/>
        <w:jc w:val="left"/>
        <w:rPr>
          <w:rFonts w:hint="eastAsia" w:ascii="华文细黑" w:hAnsi="华文细黑" w:eastAsia="华文细黑" w:cs="华文细黑"/>
          <w:b/>
          <w:bCs/>
          <w:sz w:val="44"/>
          <w:szCs w:val="44"/>
        </w:rPr>
      </w:pPr>
    </w:p>
    <w:p>
      <w:pPr>
        <w:spacing w:before="0"/>
        <w:ind w:right="0" w:firstLine="4404" w:firstLineChars="1000"/>
        <w:jc w:val="left"/>
        <w:rPr>
          <w:rFonts w:hint="eastAsia" w:ascii="华文细黑" w:hAnsi="华文细黑" w:eastAsia="华文细黑" w:cs="华文细黑"/>
          <w:b/>
          <w:bCs/>
          <w:sz w:val="24"/>
          <w:szCs w:val="24"/>
        </w:rPr>
      </w:pPr>
      <w:r>
        <w:rPr>
          <w:rFonts w:hint="eastAsia" w:ascii="华文细黑" w:hAnsi="华文细黑" w:eastAsia="华文细黑" w:cs="华文细黑"/>
          <w:b/>
          <w:bCs/>
          <w:sz w:val="44"/>
          <w:szCs w:val="44"/>
        </w:rPr>
        <w:t>安全生产投入管理制度</w:t>
      </w:r>
    </w:p>
    <w:p>
      <w:pPr>
        <w:pStyle w:val="2"/>
        <w:tabs>
          <w:tab w:val="left" w:pos="7639"/>
        </w:tabs>
        <w:spacing w:before="408" w:line="448" w:lineRule="auto"/>
        <w:ind w:left="120" w:right="499" w:firstLine="900"/>
        <w:rPr>
          <w:rFonts w:hint="eastAsia" w:ascii="华文细黑" w:hAnsi="华文细黑" w:eastAsia="华文细黑" w:cs="华文细黑"/>
          <w:sz w:val="24"/>
          <w:szCs w:val="24"/>
        </w:rPr>
      </w:pPr>
      <w:r>
        <w:rPr>
          <w:rFonts w:hint="eastAsia" w:ascii="华文细黑" w:hAnsi="华文细黑" w:eastAsia="华文细黑" w:cs="华文细黑"/>
          <w:sz w:val="24"/>
          <w:szCs w:val="24"/>
        </w:rPr>
        <w:t>为了保证安全生产所需资金投入，建立本</w:t>
      </w:r>
      <w:r>
        <w:rPr>
          <w:rFonts w:hint="eastAsia" w:ascii="华文细黑" w:hAnsi="华文细黑" w:eastAsia="华文细黑" w:cs="华文细黑"/>
          <w:sz w:val="24"/>
          <w:szCs w:val="24"/>
          <w:lang w:val="en-US" w:eastAsia="zh-CN"/>
        </w:rPr>
        <w:t>加油站</w:t>
      </w:r>
      <w:r>
        <w:rPr>
          <w:rFonts w:hint="eastAsia" w:ascii="华文细黑" w:hAnsi="华文细黑" w:eastAsia="华文细黑" w:cs="华文细黑"/>
          <w:sz w:val="24"/>
          <w:szCs w:val="24"/>
        </w:rPr>
        <w:t>安全生产投入长效机制，加强安全生产费用计划、管理和使用的规范性，切实维护本公司、职工及社会公共利益，根据《安全生产法》和国家有关加强安全生产的其他决定，制定本制度。</w:t>
      </w:r>
      <w:bookmarkStart w:id="0" w:name="_GoBack"/>
      <w:bookmarkEnd w:id="0"/>
    </w:p>
    <w:p>
      <w:pPr>
        <w:pStyle w:val="2"/>
        <w:tabs>
          <w:tab w:val="left" w:pos="5679"/>
        </w:tabs>
        <w:spacing w:line="513" w:lineRule="exact"/>
        <w:ind w:left="3860"/>
        <w:rPr>
          <w:rFonts w:hint="eastAsia" w:ascii="华文细黑" w:hAnsi="华文细黑" w:eastAsia="华文细黑" w:cs="华文细黑"/>
          <w:sz w:val="24"/>
          <w:szCs w:val="24"/>
        </w:rPr>
      </w:pPr>
      <w:r>
        <w:rPr>
          <w:rFonts w:hint="eastAsia" w:ascii="华文细黑" w:hAnsi="华文细黑" w:eastAsia="华文细黑" w:cs="华文细黑"/>
          <w:sz w:val="24"/>
          <w:szCs w:val="24"/>
        </w:rPr>
        <w:t>第一章</w:t>
      </w:r>
      <w:r>
        <w:rPr>
          <w:rFonts w:hint="eastAsia" w:ascii="华文细黑" w:hAnsi="华文细黑" w:eastAsia="华文细黑" w:cs="华文细黑"/>
          <w:sz w:val="24"/>
          <w:szCs w:val="24"/>
          <w:lang w:val="en-US" w:eastAsia="zh-CN"/>
        </w:rPr>
        <w:t xml:space="preserve">          </w:t>
      </w:r>
      <w:r>
        <w:rPr>
          <w:rFonts w:hint="eastAsia" w:ascii="华文细黑" w:hAnsi="华文细黑" w:eastAsia="华文细黑" w:cs="华文细黑"/>
          <w:sz w:val="24"/>
          <w:szCs w:val="24"/>
        </w:rPr>
        <w:t>安全生产费用的提取标准</w:t>
      </w:r>
    </w:p>
    <w:p>
      <w:pPr>
        <w:pStyle w:val="2"/>
        <w:spacing w:before="7"/>
        <w:ind w:left="0"/>
        <w:rPr>
          <w:rFonts w:hint="eastAsia" w:ascii="华文细黑" w:hAnsi="华文细黑" w:eastAsia="华文细黑" w:cs="华文细黑"/>
          <w:sz w:val="24"/>
          <w:szCs w:val="24"/>
        </w:rPr>
      </w:pPr>
    </w:p>
    <w:p>
      <w:pPr>
        <w:pStyle w:val="2"/>
        <w:tabs>
          <w:tab w:val="left" w:pos="2859"/>
        </w:tabs>
        <w:spacing w:before="1" w:line="446" w:lineRule="auto"/>
        <w:ind w:right="659" w:hanging="1840"/>
        <w:rPr>
          <w:rFonts w:hint="eastAsia" w:ascii="华文细黑" w:hAnsi="华文细黑" w:eastAsia="华文细黑" w:cs="华文细黑"/>
          <w:sz w:val="24"/>
          <w:szCs w:val="24"/>
        </w:rPr>
      </w:pPr>
      <w:r>
        <w:rPr>
          <w:rFonts w:hint="eastAsia" w:ascii="华文细黑" w:hAnsi="华文细黑" w:eastAsia="华文细黑" w:cs="华文细黑"/>
          <w:sz w:val="24"/>
          <w:szCs w:val="24"/>
        </w:rPr>
        <w:t>第一条</w:t>
      </w:r>
      <w:r>
        <w:rPr>
          <w:rFonts w:hint="eastAsia" w:ascii="华文细黑" w:hAnsi="华文细黑" w:eastAsia="华文细黑" w:cs="华文细黑"/>
          <w:sz w:val="24"/>
          <w:szCs w:val="24"/>
          <w:lang w:val="en-US" w:eastAsia="zh-CN"/>
        </w:rPr>
        <w:t xml:space="preserve">                 </w:t>
      </w:r>
      <w:r>
        <w:rPr>
          <w:rFonts w:hint="eastAsia" w:ascii="华文细黑" w:hAnsi="华文细黑" w:eastAsia="华文细黑" w:cs="华文细黑"/>
          <w:sz w:val="24"/>
          <w:szCs w:val="24"/>
        </w:rPr>
        <w:t>安全生产费用是指按照规定标准提取，在成本中列支，专门用于完善和改进本企业安全生产条件的资金。</w:t>
      </w:r>
    </w:p>
    <w:p>
      <w:pPr>
        <w:pStyle w:val="2"/>
        <w:tabs>
          <w:tab w:val="left" w:pos="2859"/>
        </w:tabs>
        <w:spacing w:before="18" w:line="446" w:lineRule="auto"/>
        <w:ind w:right="659" w:hanging="1840"/>
        <w:rPr>
          <w:rFonts w:hint="eastAsia" w:ascii="华文细黑" w:hAnsi="华文细黑" w:eastAsia="华文细黑" w:cs="华文细黑"/>
          <w:sz w:val="24"/>
          <w:szCs w:val="24"/>
        </w:rPr>
      </w:pPr>
      <w:r>
        <w:rPr>
          <w:rFonts w:hint="eastAsia" w:ascii="华文细黑" w:hAnsi="华文细黑" w:eastAsia="华文细黑" w:cs="华文细黑"/>
          <w:sz w:val="24"/>
          <w:szCs w:val="24"/>
        </w:rPr>
        <w:t>第二条</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安全费用按照“财务提取、安委会监督、确保需要、规范使用”的原则进行管理。</w:t>
      </w:r>
    </w:p>
    <w:p>
      <w:pPr>
        <w:pStyle w:val="2"/>
        <w:tabs>
          <w:tab w:val="left" w:pos="2859"/>
        </w:tabs>
        <w:spacing w:line="516" w:lineRule="exact"/>
        <w:ind w:left="1020"/>
        <w:rPr>
          <w:rFonts w:hint="eastAsia" w:ascii="华文细黑" w:hAnsi="华文细黑" w:eastAsia="华文细黑" w:cs="华文细黑"/>
          <w:sz w:val="24"/>
          <w:szCs w:val="24"/>
        </w:rPr>
      </w:pPr>
      <w:r>
        <w:rPr>
          <w:rFonts w:hint="eastAsia" w:ascii="华文细黑" w:hAnsi="华文细黑" w:eastAsia="华文细黑" w:cs="华文细黑"/>
          <w:sz w:val="24"/>
          <w:szCs w:val="24"/>
        </w:rPr>
        <w:t>第三条</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安全费用的提取标准以营业收入为计提依据。</w:t>
      </w:r>
    </w:p>
    <w:p>
      <w:pPr>
        <w:pStyle w:val="2"/>
        <w:spacing w:before="7"/>
        <w:ind w:left="0"/>
        <w:rPr>
          <w:rFonts w:hint="eastAsia" w:ascii="华文细黑" w:hAnsi="华文细黑" w:eastAsia="华文细黑" w:cs="华文细黑"/>
          <w:sz w:val="24"/>
          <w:szCs w:val="24"/>
        </w:rPr>
      </w:pPr>
    </w:p>
    <w:p>
      <w:pPr>
        <w:pStyle w:val="2"/>
        <w:numPr>
          <w:ilvl w:val="0"/>
          <w:numId w:val="1"/>
        </w:numPr>
        <w:tabs>
          <w:tab w:val="left" w:pos="2859"/>
          <w:tab w:val="left" w:pos="5439"/>
        </w:tabs>
        <w:spacing w:before="1" w:line="446" w:lineRule="auto"/>
        <w:ind w:left="1020" w:right="3119" w:firstLine="2620"/>
        <w:rPr>
          <w:rFonts w:hint="eastAsia" w:ascii="华文细黑" w:hAnsi="华文细黑" w:eastAsia="华文细黑" w:cs="华文细黑"/>
          <w:sz w:val="24"/>
          <w:szCs w:val="24"/>
        </w:rPr>
      </w:pPr>
      <w:r>
        <w:rPr>
          <w:rFonts w:hint="eastAsia" w:ascii="华文细黑" w:hAnsi="华文细黑" w:eastAsia="华文细黑" w:cs="华文细黑"/>
          <w:sz w:val="24"/>
          <w:szCs w:val="24"/>
        </w:rPr>
        <w:t>安全生产费用的使用和管理</w:t>
      </w:r>
    </w:p>
    <w:p>
      <w:pPr>
        <w:pStyle w:val="2"/>
        <w:numPr>
          <w:ilvl w:val="0"/>
          <w:numId w:val="0"/>
        </w:numPr>
        <w:tabs>
          <w:tab w:val="left" w:pos="2859"/>
          <w:tab w:val="left" w:pos="5439"/>
        </w:tabs>
        <w:spacing w:before="1" w:line="446" w:lineRule="auto"/>
        <w:ind w:right="3119" w:rightChars="0" w:firstLine="1200" w:firstLineChars="500"/>
        <w:rPr>
          <w:rFonts w:hint="eastAsia" w:ascii="华文细黑" w:hAnsi="华文细黑" w:eastAsia="华文细黑" w:cs="华文细黑"/>
          <w:sz w:val="24"/>
          <w:szCs w:val="24"/>
        </w:rPr>
      </w:pPr>
      <w:r>
        <w:rPr>
          <w:rFonts w:hint="eastAsia" w:ascii="华文细黑" w:hAnsi="华文细黑" w:eastAsia="华文细黑" w:cs="华文细黑"/>
          <w:sz w:val="24"/>
          <w:szCs w:val="24"/>
        </w:rPr>
        <w:t>第一条</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安全费用应当按照以下规定范围使用</w:t>
      </w:r>
    </w:p>
    <w:p>
      <w:pPr>
        <w:pStyle w:val="2"/>
        <w:tabs>
          <w:tab w:val="left" w:pos="2839"/>
        </w:tabs>
        <w:spacing w:before="18" w:line="441" w:lineRule="auto"/>
        <w:ind w:left="2840" w:right="419" w:hanging="1820"/>
        <w:rPr>
          <w:rFonts w:hint="eastAsia" w:ascii="华文细黑" w:hAnsi="华文细黑" w:eastAsia="华文细黑" w:cs="华文细黑"/>
          <w:sz w:val="24"/>
          <w:szCs w:val="24"/>
        </w:rPr>
      </w:pPr>
      <w:r>
        <w:rPr>
          <w:rFonts w:hint="eastAsia" w:ascii="华文细黑" w:hAnsi="华文细黑" w:eastAsia="华文细黑" w:cs="华文细黑"/>
          <w:sz w:val="24"/>
          <w:szCs w:val="24"/>
        </w:rPr>
        <w:t>（一）</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完善、改造和维护安全防护设备、设施支出、包括运输工具安全状况检测及维护系统、</w:t>
      </w:r>
      <w:r>
        <w:rPr>
          <w:rFonts w:hint="eastAsia" w:ascii="华文细黑" w:hAnsi="华文细黑" w:eastAsia="华文细黑" w:cs="华文细黑"/>
          <w:spacing w:val="50"/>
          <w:sz w:val="24"/>
          <w:szCs w:val="24"/>
        </w:rPr>
        <w:t xml:space="preserve"> </w:t>
      </w:r>
      <w:r>
        <w:rPr>
          <w:rFonts w:hint="eastAsia" w:ascii="华文细黑" w:hAnsi="华文细黑" w:eastAsia="华文细黑" w:cs="华文细黑"/>
          <w:sz w:val="24"/>
          <w:szCs w:val="24"/>
        </w:rPr>
        <w:t>运输工具附属安全设备等。</w:t>
      </w:r>
    </w:p>
    <w:p>
      <w:pPr>
        <w:pStyle w:val="2"/>
        <w:tabs>
          <w:tab w:val="left" w:pos="2839"/>
        </w:tabs>
        <w:spacing w:before="29" w:line="446" w:lineRule="auto"/>
        <w:ind w:left="2840" w:right="499" w:hanging="1820"/>
        <w:rPr>
          <w:rFonts w:hint="eastAsia" w:ascii="华文细黑" w:hAnsi="华文细黑" w:eastAsia="华文细黑" w:cs="华文细黑"/>
          <w:sz w:val="24"/>
          <w:szCs w:val="24"/>
        </w:rPr>
      </w:pPr>
      <w:r>
        <w:rPr>
          <w:rFonts w:hint="eastAsia" w:ascii="华文细黑" w:hAnsi="华文细黑" w:eastAsia="华文细黑" w:cs="华文细黑"/>
          <w:sz w:val="24"/>
          <w:szCs w:val="24"/>
        </w:rPr>
        <w:t>（二）</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配备必要的应急救援器材、</w:t>
      </w:r>
      <w:r>
        <w:rPr>
          <w:rFonts w:hint="eastAsia" w:ascii="华文细黑" w:hAnsi="华文细黑" w:eastAsia="华文细黑" w:cs="华文细黑"/>
          <w:spacing w:val="-30"/>
          <w:sz w:val="24"/>
          <w:szCs w:val="24"/>
        </w:rPr>
        <w:t xml:space="preserve"> </w:t>
      </w:r>
      <w:r>
        <w:rPr>
          <w:rFonts w:hint="eastAsia" w:ascii="华文细黑" w:hAnsi="华文细黑" w:eastAsia="华文细黑" w:cs="华文细黑"/>
          <w:sz w:val="24"/>
          <w:szCs w:val="24"/>
        </w:rPr>
        <w:t>设备和现场作业人员安全防护物品支出。</w:t>
      </w:r>
    </w:p>
    <w:p>
      <w:pPr>
        <w:pStyle w:val="2"/>
        <w:tabs>
          <w:tab w:val="left" w:pos="2839"/>
        </w:tabs>
        <w:spacing w:before="19"/>
        <w:ind w:left="1020"/>
        <w:rPr>
          <w:rFonts w:hint="eastAsia" w:ascii="华文细黑" w:hAnsi="华文细黑" w:eastAsia="华文细黑" w:cs="华文细黑"/>
          <w:sz w:val="24"/>
          <w:szCs w:val="24"/>
        </w:rPr>
      </w:pPr>
      <w:r>
        <w:rPr>
          <w:rFonts w:hint="eastAsia" w:ascii="华文细黑" w:hAnsi="华文细黑" w:eastAsia="华文细黑" w:cs="华文细黑"/>
          <w:sz w:val="24"/>
          <w:szCs w:val="24"/>
        </w:rPr>
        <w:t>（三）</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安全生产检查与评价支出。</w:t>
      </w:r>
    </w:p>
    <w:p>
      <w:pPr>
        <w:pStyle w:val="2"/>
        <w:ind w:left="0"/>
        <w:rPr>
          <w:rFonts w:hint="eastAsia" w:ascii="华文细黑" w:hAnsi="华文细黑" w:eastAsia="华文细黑" w:cs="华文细黑"/>
          <w:sz w:val="24"/>
          <w:szCs w:val="24"/>
        </w:rPr>
      </w:pPr>
    </w:p>
    <w:p>
      <w:pPr>
        <w:pStyle w:val="2"/>
        <w:tabs>
          <w:tab w:val="left" w:pos="2839"/>
        </w:tabs>
        <w:ind w:left="1020"/>
        <w:rPr>
          <w:rFonts w:hint="eastAsia" w:ascii="华文细黑" w:hAnsi="华文细黑" w:eastAsia="华文细黑" w:cs="华文细黑"/>
          <w:sz w:val="24"/>
          <w:szCs w:val="24"/>
        </w:rPr>
      </w:pPr>
      <w:r>
        <w:rPr>
          <w:rFonts w:hint="eastAsia" w:ascii="华文细黑" w:hAnsi="华文细黑" w:eastAsia="华文细黑" w:cs="华文细黑"/>
          <w:sz w:val="24"/>
          <w:szCs w:val="24"/>
        </w:rPr>
        <w:t>（四）</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重大危险源、重大事故隐患的评估、整改、监控支出。</w:t>
      </w:r>
    </w:p>
    <w:p>
      <w:pPr>
        <w:pStyle w:val="2"/>
        <w:spacing w:before="1"/>
        <w:ind w:left="0"/>
        <w:rPr>
          <w:rFonts w:hint="eastAsia" w:ascii="华文细黑" w:hAnsi="华文细黑" w:eastAsia="华文细黑" w:cs="华文细黑"/>
          <w:sz w:val="24"/>
          <w:szCs w:val="24"/>
        </w:rPr>
      </w:pPr>
    </w:p>
    <w:p>
      <w:pPr>
        <w:pStyle w:val="2"/>
        <w:tabs>
          <w:tab w:val="left" w:pos="2839"/>
        </w:tabs>
        <w:ind w:left="1020"/>
        <w:rPr>
          <w:rFonts w:hint="eastAsia" w:ascii="华文细黑" w:hAnsi="华文细黑" w:eastAsia="华文细黑" w:cs="华文细黑"/>
          <w:sz w:val="24"/>
          <w:szCs w:val="24"/>
        </w:rPr>
      </w:pPr>
      <w:r>
        <w:rPr>
          <w:rFonts w:hint="eastAsia" w:ascii="华文细黑" w:hAnsi="华文细黑" w:eastAsia="华文细黑" w:cs="华文细黑"/>
          <w:sz w:val="24"/>
          <w:szCs w:val="24"/>
        </w:rPr>
        <w:t>（五）</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安全技能培训及进行应急救援演练支出。</w:t>
      </w:r>
    </w:p>
    <w:p>
      <w:pPr>
        <w:pStyle w:val="2"/>
        <w:ind w:left="0"/>
        <w:rPr>
          <w:rFonts w:hint="eastAsia" w:ascii="华文细黑" w:hAnsi="华文细黑" w:eastAsia="华文细黑" w:cs="华文细黑"/>
          <w:sz w:val="24"/>
          <w:szCs w:val="24"/>
        </w:rPr>
      </w:pPr>
    </w:p>
    <w:p>
      <w:pPr>
        <w:pStyle w:val="2"/>
        <w:tabs>
          <w:tab w:val="left" w:pos="2839"/>
        </w:tabs>
        <w:ind w:left="1020"/>
        <w:rPr>
          <w:rFonts w:hint="eastAsia" w:ascii="华文细黑" w:hAnsi="华文细黑" w:eastAsia="华文细黑" w:cs="华文细黑"/>
          <w:sz w:val="24"/>
          <w:szCs w:val="24"/>
        </w:rPr>
      </w:pPr>
      <w:r>
        <w:rPr>
          <w:rFonts w:hint="eastAsia" w:ascii="华文细黑" w:hAnsi="华文细黑" w:eastAsia="华文细黑" w:cs="华文细黑"/>
          <w:sz w:val="24"/>
          <w:szCs w:val="24"/>
        </w:rPr>
        <w:t>（六）</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其他与安全生产直接相关的支出。</w:t>
      </w:r>
    </w:p>
    <w:p>
      <w:pPr>
        <w:spacing w:after="0"/>
        <w:rPr>
          <w:rFonts w:hint="eastAsia" w:ascii="华文细黑" w:hAnsi="华文细黑" w:eastAsia="华文细黑" w:cs="华文细黑"/>
          <w:sz w:val="24"/>
          <w:szCs w:val="24"/>
        </w:rPr>
        <w:sectPr>
          <w:type w:val="continuous"/>
          <w:pgSz w:w="19120" w:h="27060"/>
          <w:pgMar w:top="2500" w:right="2760" w:bottom="280" w:left="2760" w:header="720" w:footer="720" w:gutter="0"/>
        </w:sectPr>
      </w:pPr>
    </w:p>
    <w:p>
      <w:pPr>
        <w:pStyle w:val="2"/>
        <w:tabs>
          <w:tab w:val="left" w:pos="2859"/>
        </w:tabs>
        <w:spacing w:before="20" w:line="451" w:lineRule="auto"/>
        <w:ind w:right="519" w:hanging="1840"/>
        <w:rPr>
          <w:rFonts w:hint="eastAsia" w:ascii="华文细黑" w:hAnsi="华文细黑" w:eastAsia="华文细黑" w:cs="华文细黑"/>
          <w:sz w:val="24"/>
          <w:szCs w:val="24"/>
        </w:rPr>
      </w:pPr>
      <w:r>
        <w:rPr>
          <w:rFonts w:hint="eastAsia" w:ascii="华文细黑" w:hAnsi="华文细黑" w:eastAsia="华文细黑" w:cs="华文细黑"/>
          <w:sz w:val="24"/>
          <w:szCs w:val="24"/>
        </w:rPr>
        <w:t>第二条</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在本规定的使用范围内，</w:t>
      </w:r>
      <w:r>
        <w:rPr>
          <w:rFonts w:hint="eastAsia" w:ascii="华文细黑" w:hAnsi="华文细黑" w:eastAsia="华文细黑" w:cs="华文细黑"/>
          <w:spacing w:val="-70"/>
          <w:sz w:val="24"/>
          <w:szCs w:val="24"/>
        </w:rPr>
        <w:t xml:space="preserve"> </w:t>
      </w:r>
      <w:r>
        <w:rPr>
          <w:rFonts w:hint="eastAsia" w:ascii="华文细黑" w:hAnsi="华文细黑" w:eastAsia="华文细黑" w:cs="华文细黑"/>
          <w:sz w:val="24"/>
          <w:szCs w:val="24"/>
        </w:rPr>
        <w:t>安全费用应优先用于满足上级安全生产监督管理部门对本企业安全生产提出的整改 措施或达到安全生产标准所需支出。</w:t>
      </w:r>
    </w:p>
    <w:p>
      <w:pPr>
        <w:pStyle w:val="2"/>
        <w:spacing w:before="5" w:line="441" w:lineRule="auto"/>
        <w:ind w:right="219" w:hanging="1840"/>
        <w:jc w:val="both"/>
        <w:rPr>
          <w:rFonts w:hint="eastAsia" w:ascii="华文细黑" w:hAnsi="华文细黑" w:eastAsia="华文细黑" w:cs="华文细黑"/>
          <w:sz w:val="24"/>
          <w:szCs w:val="24"/>
        </w:rPr>
      </w:pPr>
      <w:r>
        <w:rPr>
          <w:rFonts w:hint="eastAsia" w:ascii="华文细黑" w:hAnsi="华文细黑" w:eastAsia="华文细黑" w:cs="华文细黑"/>
          <w:spacing w:val="-1"/>
          <w:sz w:val="24"/>
          <w:szCs w:val="24"/>
        </w:rPr>
        <w:t xml:space="preserve">第三条 </w:t>
      </w:r>
      <w:r>
        <w:rPr>
          <w:rFonts w:hint="eastAsia" w:ascii="华文细黑" w:hAnsi="华文细黑" w:eastAsia="华文细黑" w:cs="华文细黑"/>
          <w:spacing w:val="-1"/>
          <w:sz w:val="24"/>
          <w:szCs w:val="24"/>
          <w:lang w:val="en-US" w:eastAsia="zh-CN"/>
        </w:rPr>
        <w:t xml:space="preserve">                 </w:t>
      </w:r>
      <w:r>
        <w:rPr>
          <w:rFonts w:hint="eastAsia" w:ascii="华文细黑" w:hAnsi="华文细黑" w:eastAsia="华文细黑" w:cs="华文细黑"/>
          <w:spacing w:val="-1"/>
          <w:sz w:val="24"/>
          <w:szCs w:val="24"/>
        </w:rPr>
        <w:t>安全费用应当专户核算， 按规定范围安排使用。 年度结</w:t>
      </w:r>
      <w:r>
        <w:rPr>
          <w:rFonts w:hint="eastAsia" w:ascii="华文细黑" w:hAnsi="华文细黑" w:eastAsia="华文细黑" w:cs="华文细黑"/>
          <w:spacing w:val="-7"/>
          <w:sz w:val="24"/>
          <w:szCs w:val="24"/>
        </w:rPr>
        <w:t>余下年度使用， 当年计提安全费用不足的， 超出部分按正常成本费用渠道列支。</w:t>
      </w:r>
    </w:p>
    <w:p>
      <w:pPr>
        <w:pStyle w:val="2"/>
        <w:tabs>
          <w:tab w:val="left" w:pos="2859"/>
        </w:tabs>
        <w:spacing w:before="29" w:line="446" w:lineRule="auto"/>
        <w:ind w:right="1079" w:hanging="1840"/>
        <w:rPr>
          <w:rFonts w:hint="eastAsia" w:ascii="华文细黑" w:hAnsi="华文细黑" w:eastAsia="华文细黑" w:cs="华文细黑"/>
          <w:sz w:val="24"/>
          <w:szCs w:val="24"/>
        </w:rPr>
      </w:pPr>
      <w:r>
        <w:rPr>
          <w:rFonts w:hint="eastAsia" w:ascii="华文细黑" w:hAnsi="华文细黑" w:eastAsia="华文细黑" w:cs="华文细黑"/>
          <w:sz w:val="24"/>
          <w:szCs w:val="24"/>
        </w:rPr>
        <w:t>第四条</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利用安全费用形成的资产，应当纳入相关资产进行管理。</w:t>
      </w:r>
    </w:p>
    <w:p>
      <w:pPr>
        <w:pStyle w:val="2"/>
        <w:tabs>
          <w:tab w:val="left" w:pos="2859"/>
          <w:tab w:val="left" w:pos="13019"/>
        </w:tabs>
        <w:spacing w:before="18" w:line="441" w:lineRule="auto"/>
        <w:ind w:right="159" w:hanging="1840"/>
        <w:rPr>
          <w:rFonts w:hint="eastAsia" w:ascii="华文细黑" w:hAnsi="华文细黑" w:eastAsia="华文细黑" w:cs="华文细黑"/>
          <w:sz w:val="24"/>
          <w:szCs w:val="24"/>
        </w:rPr>
      </w:pPr>
      <w:r>
        <w:rPr>
          <w:rFonts w:hint="eastAsia" w:ascii="华文细黑" w:hAnsi="华文细黑" w:eastAsia="华文细黑" w:cs="华文细黑"/>
          <w:sz w:val="24"/>
          <w:szCs w:val="24"/>
        </w:rPr>
        <w:t>第五条</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为驾驶员等一线生产人员办理的个人意外伤害保险，所需保险费用直接列入成本（费用）</w:t>
      </w:r>
      <w:r>
        <w:rPr>
          <w:rFonts w:hint="eastAsia" w:ascii="华文细黑" w:hAnsi="华文细黑" w:eastAsia="华文细黑" w:cs="华文细黑"/>
          <w:spacing w:val="50"/>
          <w:sz w:val="24"/>
          <w:szCs w:val="24"/>
        </w:rPr>
        <w:t xml:space="preserve"> </w:t>
      </w:r>
      <w:r>
        <w:rPr>
          <w:rFonts w:hint="eastAsia" w:ascii="华文细黑" w:hAnsi="华文细黑" w:eastAsia="华文细黑" w:cs="华文细黑"/>
          <w:sz w:val="24"/>
          <w:szCs w:val="24"/>
        </w:rPr>
        <w:t>，不在安全费用中支出。同时，为员工提供的职业病防治、 工伤保险、 医疗保险所需费用，不在安全费用中支出。</w:t>
      </w:r>
    </w:p>
    <w:p>
      <w:pPr>
        <w:pStyle w:val="2"/>
        <w:tabs>
          <w:tab w:val="left" w:pos="6339"/>
        </w:tabs>
        <w:spacing w:before="18"/>
        <w:ind w:left="4540"/>
        <w:rPr>
          <w:rFonts w:hint="eastAsia" w:ascii="华文细黑" w:hAnsi="华文细黑" w:eastAsia="华文细黑" w:cs="华文细黑"/>
          <w:sz w:val="24"/>
          <w:szCs w:val="24"/>
        </w:rPr>
      </w:pPr>
      <w:r>
        <w:rPr>
          <w:rFonts w:hint="eastAsia" w:ascii="华文细黑" w:hAnsi="华文细黑" w:eastAsia="华文细黑" w:cs="华文细黑"/>
          <w:sz w:val="24"/>
          <w:szCs w:val="24"/>
        </w:rPr>
        <w:t>第三章</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安委会及财务监督</w:t>
      </w:r>
    </w:p>
    <w:p>
      <w:pPr>
        <w:pStyle w:val="2"/>
        <w:spacing w:before="1"/>
        <w:ind w:left="0"/>
        <w:rPr>
          <w:rFonts w:hint="eastAsia" w:ascii="华文细黑" w:hAnsi="华文细黑" w:eastAsia="华文细黑" w:cs="华文细黑"/>
          <w:sz w:val="24"/>
          <w:szCs w:val="24"/>
        </w:rPr>
      </w:pPr>
    </w:p>
    <w:p>
      <w:pPr>
        <w:pStyle w:val="2"/>
        <w:tabs>
          <w:tab w:val="left" w:pos="2859"/>
        </w:tabs>
        <w:spacing w:line="446" w:lineRule="auto"/>
        <w:ind w:right="159" w:hanging="1840"/>
        <w:rPr>
          <w:rFonts w:hint="eastAsia" w:ascii="华文细黑" w:hAnsi="华文细黑" w:eastAsia="华文细黑" w:cs="华文细黑"/>
          <w:sz w:val="24"/>
          <w:szCs w:val="24"/>
        </w:rPr>
      </w:pPr>
      <w:r>
        <w:rPr>
          <w:rFonts w:hint="eastAsia" w:ascii="华文细黑" w:hAnsi="华文细黑" w:eastAsia="华文细黑" w:cs="华文细黑"/>
          <w:sz w:val="24"/>
          <w:szCs w:val="24"/>
        </w:rPr>
        <w:t>第一条</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公司应当及时、</w:t>
      </w:r>
      <w:r>
        <w:rPr>
          <w:rFonts w:hint="eastAsia" w:ascii="华文细黑" w:hAnsi="华文细黑" w:eastAsia="华文细黑" w:cs="华文细黑"/>
          <w:spacing w:val="-70"/>
          <w:sz w:val="24"/>
          <w:szCs w:val="24"/>
        </w:rPr>
        <w:t xml:space="preserve"> </w:t>
      </w:r>
      <w:r>
        <w:rPr>
          <w:rFonts w:hint="eastAsia" w:ascii="华文细黑" w:hAnsi="华文细黑" w:eastAsia="华文细黑" w:cs="华文细黑"/>
          <w:sz w:val="24"/>
          <w:szCs w:val="24"/>
        </w:rPr>
        <w:t>足额提取安全费用，</w:t>
      </w:r>
      <w:r>
        <w:rPr>
          <w:rFonts w:hint="eastAsia" w:ascii="华文细黑" w:hAnsi="华文细黑" w:eastAsia="华文细黑" w:cs="华文细黑"/>
          <w:spacing w:val="10"/>
          <w:sz w:val="24"/>
          <w:szCs w:val="24"/>
        </w:rPr>
        <w:t xml:space="preserve"> </w:t>
      </w:r>
      <w:r>
        <w:rPr>
          <w:rFonts w:hint="eastAsia" w:ascii="华文细黑" w:hAnsi="华文细黑" w:eastAsia="华文细黑" w:cs="华文细黑"/>
          <w:sz w:val="24"/>
          <w:szCs w:val="24"/>
        </w:rPr>
        <w:t>并按规定使用。</w:t>
      </w:r>
      <w:r>
        <w:rPr>
          <w:rFonts w:hint="eastAsia" w:ascii="华文细黑" w:hAnsi="华文细黑" w:eastAsia="华文细黑" w:cs="华文细黑"/>
          <w:spacing w:val="-70"/>
          <w:sz w:val="24"/>
          <w:szCs w:val="24"/>
        </w:rPr>
        <w:t xml:space="preserve"> </w:t>
      </w:r>
      <w:r>
        <w:rPr>
          <w:rFonts w:hint="eastAsia" w:ascii="华文细黑" w:hAnsi="华文细黑" w:eastAsia="华文细黑" w:cs="华文细黑"/>
          <w:sz w:val="24"/>
          <w:szCs w:val="24"/>
        </w:rPr>
        <w:t>在年度财务会计报告中，</w:t>
      </w:r>
      <w:r>
        <w:rPr>
          <w:rFonts w:hint="eastAsia" w:ascii="华文细黑" w:hAnsi="华文细黑" w:eastAsia="华文细黑" w:cs="华文细黑"/>
          <w:spacing w:val="-90"/>
          <w:sz w:val="24"/>
          <w:szCs w:val="24"/>
        </w:rPr>
        <w:t xml:space="preserve"> </w:t>
      </w:r>
      <w:r>
        <w:rPr>
          <w:rFonts w:hint="eastAsia" w:ascii="华文细黑" w:hAnsi="华文细黑" w:eastAsia="华文细黑" w:cs="华文细黑"/>
          <w:sz w:val="24"/>
          <w:szCs w:val="24"/>
        </w:rPr>
        <w:t>应当说明安全费用提取和使用的具体情况。</w:t>
      </w:r>
    </w:p>
    <w:p>
      <w:pPr>
        <w:pStyle w:val="2"/>
        <w:tabs>
          <w:tab w:val="left" w:pos="2859"/>
          <w:tab w:val="left" w:pos="10879"/>
        </w:tabs>
        <w:spacing w:line="456" w:lineRule="auto"/>
        <w:ind w:right="199" w:hanging="1840"/>
        <w:rPr>
          <w:rFonts w:hint="eastAsia" w:ascii="华文细黑" w:hAnsi="华文细黑" w:eastAsia="华文细黑" w:cs="华文细黑"/>
          <w:sz w:val="24"/>
          <w:szCs w:val="24"/>
        </w:rPr>
      </w:pPr>
      <w:r>
        <w:rPr>
          <w:rFonts w:hint="eastAsia" w:ascii="华文细黑" w:hAnsi="华文细黑" w:eastAsia="华文细黑" w:cs="华文细黑"/>
          <w:sz w:val="24"/>
          <w:szCs w:val="24"/>
        </w:rPr>
        <w:t>第二条</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安委会和财政部门对公司安全费用提取、管理、使用进行监督检查。</w:t>
      </w:r>
    </w:p>
    <w:p>
      <w:pPr>
        <w:pStyle w:val="2"/>
        <w:tabs>
          <w:tab w:val="left" w:pos="2859"/>
          <w:tab w:val="left" w:pos="10759"/>
        </w:tabs>
        <w:spacing w:line="513" w:lineRule="exact"/>
        <w:ind w:left="1020"/>
        <w:rPr>
          <w:rFonts w:hint="eastAsia" w:ascii="华文细黑" w:hAnsi="华文细黑" w:eastAsia="华文细黑" w:cs="华文细黑"/>
          <w:sz w:val="24"/>
          <w:szCs w:val="24"/>
        </w:rPr>
      </w:pPr>
      <w:r>
        <w:rPr>
          <w:rFonts w:hint="eastAsia" w:ascii="华文细黑" w:hAnsi="华文细黑" w:eastAsia="华文细黑" w:cs="华文细黑"/>
          <w:sz w:val="24"/>
          <w:szCs w:val="24"/>
        </w:rPr>
        <w:t>第三条</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公司未按本规定提取和使用安全费用的，应责令其限期整改，予以警告。</w:t>
      </w:r>
    </w:p>
    <w:p>
      <w:pPr>
        <w:spacing w:after="0"/>
        <w:rPr>
          <w:rFonts w:hint="eastAsia" w:ascii="华文细黑" w:hAnsi="华文细黑" w:eastAsia="华文细黑" w:cs="华文细黑"/>
          <w:sz w:val="24"/>
          <w:szCs w:val="24"/>
        </w:rPr>
        <w:sectPr>
          <w:pgSz w:w="19120" w:h="27060"/>
          <w:pgMar w:top="2560" w:right="2760" w:bottom="280" w:left="2760" w:header="720" w:footer="720" w:gutter="0"/>
        </w:sectPr>
      </w:pPr>
    </w:p>
    <w:p>
      <w:pPr>
        <w:pStyle w:val="2"/>
        <w:tabs>
          <w:tab w:val="left" w:pos="7699"/>
        </w:tabs>
        <w:spacing w:before="20"/>
        <w:ind w:left="5900"/>
        <w:rPr>
          <w:rFonts w:hint="eastAsia" w:ascii="华文细黑" w:hAnsi="华文细黑" w:eastAsia="华文细黑" w:cs="华文细黑"/>
          <w:sz w:val="24"/>
          <w:szCs w:val="24"/>
        </w:rPr>
      </w:pPr>
      <w:r>
        <w:rPr>
          <w:rFonts w:hint="eastAsia" w:ascii="华文细黑" w:hAnsi="华文细黑" w:eastAsia="华文细黑" w:cs="华文细黑"/>
          <w:sz w:val="24"/>
          <w:szCs w:val="24"/>
        </w:rPr>
        <w:t>第四章</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附则</w:t>
      </w:r>
    </w:p>
    <w:p>
      <w:pPr>
        <w:pStyle w:val="2"/>
        <w:spacing w:before="7"/>
        <w:ind w:left="0"/>
        <w:rPr>
          <w:rFonts w:hint="eastAsia" w:ascii="华文细黑" w:hAnsi="华文细黑" w:eastAsia="华文细黑" w:cs="华文细黑"/>
          <w:sz w:val="24"/>
          <w:szCs w:val="24"/>
        </w:rPr>
      </w:pPr>
    </w:p>
    <w:p>
      <w:pPr>
        <w:pStyle w:val="2"/>
        <w:tabs>
          <w:tab w:val="left" w:pos="3519"/>
        </w:tabs>
        <w:spacing w:before="1" w:line="446" w:lineRule="auto"/>
        <w:ind w:left="3520" w:right="839" w:hanging="1800"/>
        <w:rPr>
          <w:rFonts w:hint="eastAsia" w:ascii="华文细黑" w:hAnsi="华文细黑" w:eastAsia="华文细黑" w:cs="华文细黑"/>
          <w:sz w:val="24"/>
          <w:szCs w:val="24"/>
        </w:rPr>
      </w:pPr>
      <w:r>
        <w:rPr>
          <w:rFonts w:hint="eastAsia" w:ascii="华文细黑" w:hAnsi="华文细黑" w:eastAsia="华文细黑" w:cs="华文细黑"/>
          <w:sz w:val="24"/>
          <w:szCs w:val="24"/>
        </w:rPr>
        <w:t>第一条</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安全费用的会计处理，应当符合国家统一的会计审计制度的规定。</w:t>
      </w:r>
    </w:p>
    <w:p>
      <w:pPr>
        <w:pStyle w:val="2"/>
        <w:tabs>
          <w:tab w:val="left" w:pos="3519"/>
        </w:tabs>
        <w:spacing w:before="18" w:line="446" w:lineRule="auto"/>
        <w:ind w:left="3520" w:right="839" w:hanging="1800"/>
        <w:rPr>
          <w:rFonts w:hint="eastAsia" w:ascii="华文细黑" w:hAnsi="华文细黑" w:eastAsia="华文细黑" w:cs="华文细黑"/>
          <w:sz w:val="24"/>
          <w:szCs w:val="24"/>
        </w:rPr>
      </w:pPr>
      <w:r>
        <w:rPr>
          <w:rFonts w:hint="eastAsia" w:ascii="华文细黑" w:hAnsi="华文细黑" w:eastAsia="华文细黑" w:cs="华文细黑"/>
          <w:sz w:val="24"/>
          <w:szCs w:val="24"/>
        </w:rPr>
        <w:t>第二条</w:t>
      </w:r>
      <w:r>
        <w:rPr>
          <w:rFonts w:hint="eastAsia" w:ascii="华文细黑" w:hAnsi="华文细黑" w:eastAsia="华文细黑" w:cs="华文细黑"/>
          <w:sz w:val="24"/>
          <w:szCs w:val="24"/>
        </w:rPr>
        <w:tab/>
      </w:r>
      <w:r>
        <w:rPr>
          <w:rFonts w:hint="eastAsia" w:ascii="华文细黑" w:hAnsi="华文细黑" w:eastAsia="华文细黑" w:cs="华文细黑"/>
          <w:sz w:val="24"/>
          <w:szCs w:val="24"/>
        </w:rPr>
        <w:t>公司可以结合实际情况，制定具体实施办法，并报公司相关职能部门备案。</w:t>
      </w:r>
    </w:p>
    <w:sectPr>
      <w:pgSz w:w="19120" w:h="27060"/>
      <w:pgMar w:top="2560" w:right="2760" w:bottom="280" w:left="276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00"/>
    <w:family w:val="auto"/>
    <w:pitch w:val="default"/>
    <w:sig w:usb0="E0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F14755"/>
    <w:multiLevelType w:val="singleLevel"/>
    <w:tmpl w:val="73F14755"/>
    <w:lvl w:ilvl="0" w:tentative="0">
      <w:start w:val="2"/>
      <w:numFmt w:val="chineseCounting"/>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B35D3"/>
    <w:rsid w:val="35653EA1"/>
    <w:rsid w:val="369F7EBD"/>
    <w:rsid w:val="3D6556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1"/>
    <w:pPr>
      <w:ind w:left="2860"/>
    </w:pPr>
    <w:rPr>
      <w:rFonts w:ascii="宋体" w:hAnsi="宋体" w:eastAsia="宋体" w:cs="宋体"/>
      <w:sz w:val="42"/>
      <w:szCs w:val="42"/>
    </w:rPr>
  </w:style>
  <w:style w:type="table" w:customStyle="1" w:styleId="5">
    <w:name w:val="Table Normal"/>
    <w:semiHidden/>
    <w:unhideWhenUsed/>
    <w:qFormat/>
    <w:uiPriority w:val="2"/>
    <w:tblPr>
      <w:tblLayout w:type="fixed"/>
      <w:tblCellMar>
        <w:top w:w="0" w:type="dxa"/>
        <w:left w:w="0" w:type="dxa"/>
        <w:bottom w:w="0" w:type="dxa"/>
        <w:right w:w="0" w:type="dxa"/>
      </w:tblCellMar>
    </w:tblPr>
  </w:style>
  <w:style w:type="paragraph" w:styleId="6">
    <w:name w:val="List Paragraph"/>
    <w:basedOn w:val="1"/>
    <w:qFormat/>
    <w:uiPriority w:val="1"/>
  </w:style>
  <w:style w:type="paragraph" w:customStyle="1" w:styleId="7">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ScaleCrop>false</ScaleCrop>
  <LinksUpToDate>false</LinksUpToDate>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2020-08-06T02:57:00Z</dcterms:created>
  <dc:creator>bingdian001.com</dc:creator>
  <cp:keywords>bingdian001.com</cp:keywords>
  <cp:lastModifiedBy>Administrator</cp:lastModifiedBy>
  <dcterms:modified xsi:type="dcterms:W3CDTF">2020-08-06T03:25:47Z</dcterms:modified>
  <dc:subject>bingdian001.com</dc:subject>
  <dc:title>bingdian001.com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2020-08-06T00:00:00Z</vt:filetime>
  </property>
  <property fmtid="{D5CDD505-2E9C-101B-9397-08002B2CF9AE}" pid="3" name="Creator">
    <vt:lpwstr>bingdian001.com</vt:lpwstr>
  </property>
  <property fmtid="{D5CDD505-2E9C-101B-9397-08002B2CF9AE}" pid="4" name="LastSaved">
    <vt:filetime>2020-08-06T00:00:00Z</vt:filetime>
  </property>
  <property fmtid="{D5CDD505-2E9C-101B-9397-08002B2CF9AE}" pid="5" name="KSOProductBuildVer">
    <vt:lpwstr>2052-10.8.2.7119</vt:lpwstr>
  </property>
</Properties>
</file>