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
        <w:ind w:left="0"/>
        <w:rPr>
          <w:rFonts w:ascii="Times New Roman"/>
          <w:sz w:val="16"/>
        </w:rPr>
      </w:pPr>
      <w:r>
        <w:rPr/>
        <w:drawing>
          <wp:anchor distT="0" distB="0" distL="0" distR="0" allowOverlap="1" layoutInCell="1" locked="0" behindDoc="1" simplePos="0" relativeHeight="268416479">
            <wp:simplePos x="0" y="0"/>
            <wp:positionH relativeFrom="page">
              <wp:posOffset>1811333</wp:posOffset>
            </wp:positionH>
            <wp:positionV relativeFrom="page">
              <wp:posOffset>1527100</wp:posOffset>
            </wp:positionV>
            <wp:extent cx="8449055" cy="9681210"/>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8449055" cy="9681210"/>
                    </a:xfrm>
                    <a:prstGeom prst="rect">
                      <a:avLst/>
                    </a:prstGeom>
                  </pic:spPr>
                </pic:pic>
              </a:graphicData>
            </a:graphic>
          </wp:anchor>
        </w:drawing>
      </w:r>
    </w:p>
    <w:tbl>
      <w:tblPr>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30"/>
        <w:gridCol w:w="2110"/>
        <w:gridCol w:w="2014"/>
      </w:tblGrid>
      <w:tr>
        <w:trPr>
          <w:trHeight w:val="910" w:hRule="atLeast"/>
        </w:trPr>
        <w:tc>
          <w:tcPr>
            <w:tcW w:w="7830" w:type="dxa"/>
          </w:tcPr>
          <w:p>
            <w:pPr>
              <w:pStyle w:val="TableParagraph"/>
              <w:spacing w:line="730" w:lineRule="exact"/>
              <w:ind w:right="999"/>
              <w:jc w:val="right"/>
              <w:rPr>
                <w:sz w:val="64"/>
              </w:rPr>
            </w:pPr>
            <w:r>
              <w:rPr>
                <w:sz w:val="64"/>
              </w:rPr>
              <w:t>目</w:t>
            </w:r>
          </w:p>
        </w:tc>
        <w:tc>
          <w:tcPr>
            <w:tcW w:w="2110" w:type="dxa"/>
          </w:tcPr>
          <w:p>
            <w:pPr>
              <w:pStyle w:val="TableParagraph"/>
              <w:spacing w:line="730" w:lineRule="exact"/>
              <w:ind w:left="480"/>
              <w:rPr>
                <w:sz w:val="64"/>
              </w:rPr>
            </w:pPr>
            <w:r>
              <w:rPr>
                <w:sz w:val="64"/>
              </w:rPr>
              <w:t>录</w:t>
            </w:r>
          </w:p>
        </w:tc>
        <w:tc>
          <w:tcPr>
            <w:tcW w:w="2014" w:type="dxa"/>
          </w:tcPr>
          <w:p>
            <w:pPr>
              <w:pStyle w:val="TableParagraph"/>
              <w:rPr>
                <w:rFonts w:ascii="Times New Roman"/>
                <w:sz w:val="44"/>
              </w:rPr>
            </w:pPr>
          </w:p>
        </w:tc>
      </w:tr>
      <w:tr>
        <w:trPr>
          <w:trHeight w:val="921" w:hRule="atLeast"/>
        </w:trPr>
        <w:tc>
          <w:tcPr>
            <w:tcW w:w="7830" w:type="dxa"/>
          </w:tcPr>
          <w:p>
            <w:pPr>
              <w:pStyle w:val="TableParagraph"/>
              <w:spacing w:before="139"/>
              <w:ind w:left="50"/>
              <w:rPr>
                <w:sz w:val="44"/>
              </w:rPr>
            </w:pPr>
            <w:r>
              <w:rPr>
                <w:rFonts w:ascii="Arial" w:eastAsia="Arial"/>
                <w:sz w:val="44"/>
              </w:rPr>
              <w:t>1</w:t>
            </w:r>
            <w:r>
              <w:rPr>
                <w:sz w:val="44"/>
              </w:rPr>
              <w:t>、消防安全应急组织机构</w:t>
            </w:r>
          </w:p>
        </w:tc>
        <w:tc>
          <w:tcPr>
            <w:tcW w:w="2110" w:type="dxa"/>
          </w:tcPr>
          <w:p>
            <w:pPr>
              <w:pStyle w:val="TableParagraph"/>
              <w:rPr>
                <w:rFonts w:ascii="Times New Roman"/>
                <w:sz w:val="44"/>
              </w:rPr>
            </w:pPr>
          </w:p>
        </w:tc>
        <w:tc>
          <w:tcPr>
            <w:tcW w:w="2014" w:type="dxa"/>
          </w:tcPr>
          <w:p>
            <w:pPr>
              <w:pStyle w:val="TableParagraph"/>
              <w:spacing w:before="166"/>
              <w:ind w:right="297"/>
              <w:jc w:val="right"/>
              <w:rPr>
                <w:rFonts w:ascii="Arial"/>
                <w:sz w:val="44"/>
              </w:rPr>
            </w:pPr>
            <w:r>
              <w:rPr>
                <w:rFonts w:ascii="Arial"/>
                <w:sz w:val="44"/>
              </w:rPr>
              <w:t>1</w:t>
            </w:r>
          </w:p>
        </w:tc>
      </w:tr>
      <w:tr>
        <w:trPr>
          <w:trHeight w:val="960" w:hRule="atLeast"/>
        </w:trPr>
        <w:tc>
          <w:tcPr>
            <w:tcW w:w="7830" w:type="dxa"/>
          </w:tcPr>
          <w:p>
            <w:pPr>
              <w:pStyle w:val="TableParagraph"/>
              <w:spacing w:before="177"/>
              <w:ind w:left="50"/>
              <w:rPr>
                <w:sz w:val="44"/>
              </w:rPr>
            </w:pPr>
            <w:r>
              <w:rPr>
                <w:rFonts w:ascii="Arial" w:eastAsia="Arial"/>
                <w:sz w:val="44"/>
              </w:rPr>
              <w:t>2</w:t>
            </w:r>
            <w:r>
              <w:rPr>
                <w:sz w:val="44"/>
              </w:rPr>
              <w:t>、加油站站长安全职责</w:t>
            </w:r>
          </w:p>
        </w:tc>
        <w:tc>
          <w:tcPr>
            <w:tcW w:w="2110" w:type="dxa"/>
          </w:tcPr>
          <w:p>
            <w:pPr>
              <w:pStyle w:val="TableParagraph"/>
              <w:rPr>
                <w:rFonts w:ascii="Times New Roman"/>
                <w:sz w:val="44"/>
              </w:rPr>
            </w:pPr>
          </w:p>
        </w:tc>
        <w:tc>
          <w:tcPr>
            <w:tcW w:w="2014" w:type="dxa"/>
          </w:tcPr>
          <w:p>
            <w:pPr>
              <w:pStyle w:val="TableParagraph"/>
              <w:spacing w:before="204"/>
              <w:ind w:right="174"/>
              <w:jc w:val="right"/>
              <w:rPr>
                <w:rFonts w:ascii="Arial"/>
                <w:sz w:val="44"/>
              </w:rPr>
            </w:pPr>
            <w:r>
              <w:rPr>
                <w:rFonts w:ascii="Arial"/>
                <w:sz w:val="44"/>
              </w:rPr>
              <w:t>.3</w:t>
            </w:r>
          </w:p>
        </w:tc>
      </w:tr>
      <w:tr>
        <w:trPr>
          <w:trHeight w:val="970" w:hRule="atLeast"/>
        </w:trPr>
        <w:tc>
          <w:tcPr>
            <w:tcW w:w="7830" w:type="dxa"/>
          </w:tcPr>
          <w:p>
            <w:pPr>
              <w:pStyle w:val="TableParagraph"/>
              <w:spacing w:before="177"/>
              <w:ind w:left="50"/>
              <w:rPr>
                <w:sz w:val="44"/>
              </w:rPr>
            </w:pPr>
            <w:r>
              <w:rPr>
                <w:rFonts w:ascii="Arial" w:eastAsia="Arial"/>
                <w:sz w:val="44"/>
              </w:rPr>
              <w:t>3</w:t>
            </w:r>
            <w:r>
              <w:rPr>
                <w:sz w:val="44"/>
              </w:rPr>
              <w:t>、安全员岗位职责</w:t>
            </w:r>
          </w:p>
        </w:tc>
        <w:tc>
          <w:tcPr>
            <w:tcW w:w="2110" w:type="dxa"/>
          </w:tcPr>
          <w:p>
            <w:pPr>
              <w:pStyle w:val="TableParagraph"/>
              <w:rPr>
                <w:rFonts w:ascii="Times New Roman"/>
                <w:sz w:val="44"/>
              </w:rPr>
            </w:pPr>
          </w:p>
        </w:tc>
        <w:tc>
          <w:tcPr>
            <w:tcW w:w="2014" w:type="dxa"/>
          </w:tcPr>
          <w:p>
            <w:pPr>
              <w:pStyle w:val="TableParagraph"/>
              <w:spacing w:before="204"/>
              <w:ind w:right="174"/>
              <w:jc w:val="right"/>
              <w:rPr>
                <w:rFonts w:ascii="Arial"/>
                <w:sz w:val="44"/>
              </w:rPr>
            </w:pPr>
            <w:r>
              <w:rPr>
                <w:rFonts w:ascii="Arial"/>
                <w:sz w:val="44"/>
              </w:rPr>
              <w:t>.4</w:t>
            </w:r>
          </w:p>
        </w:tc>
      </w:tr>
      <w:tr>
        <w:trPr>
          <w:trHeight w:val="970" w:hRule="atLeast"/>
        </w:trPr>
        <w:tc>
          <w:tcPr>
            <w:tcW w:w="7830" w:type="dxa"/>
          </w:tcPr>
          <w:p>
            <w:pPr>
              <w:pStyle w:val="TableParagraph"/>
              <w:spacing w:before="187"/>
              <w:ind w:left="50"/>
              <w:rPr>
                <w:sz w:val="44"/>
              </w:rPr>
            </w:pPr>
            <w:r>
              <w:rPr>
                <w:rFonts w:ascii="Arial" w:eastAsia="Arial"/>
                <w:sz w:val="44"/>
              </w:rPr>
              <w:t>4</w:t>
            </w:r>
            <w:r>
              <w:rPr>
                <w:sz w:val="44"/>
              </w:rPr>
              <w:t>、职工安全防火及工作纪律管理制度</w:t>
            </w:r>
          </w:p>
        </w:tc>
        <w:tc>
          <w:tcPr>
            <w:tcW w:w="2110" w:type="dxa"/>
          </w:tcPr>
          <w:p>
            <w:pPr>
              <w:pStyle w:val="TableParagraph"/>
              <w:rPr>
                <w:rFonts w:ascii="Times New Roman"/>
                <w:sz w:val="44"/>
              </w:rPr>
            </w:pPr>
          </w:p>
        </w:tc>
        <w:tc>
          <w:tcPr>
            <w:tcW w:w="2014" w:type="dxa"/>
          </w:tcPr>
          <w:p>
            <w:pPr>
              <w:pStyle w:val="TableParagraph"/>
              <w:spacing w:before="214"/>
              <w:ind w:right="297"/>
              <w:jc w:val="right"/>
              <w:rPr>
                <w:rFonts w:ascii="Arial"/>
                <w:sz w:val="44"/>
              </w:rPr>
            </w:pPr>
            <w:r>
              <w:rPr>
                <w:rFonts w:ascii="Arial"/>
                <w:sz w:val="44"/>
              </w:rPr>
              <w:t>5</w:t>
            </w:r>
          </w:p>
        </w:tc>
      </w:tr>
      <w:tr>
        <w:trPr>
          <w:trHeight w:val="960" w:hRule="atLeast"/>
        </w:trPr>
        <w:tc>
          <w:tcPr>
            <w:tcW w:w="7830" w:type="dxa"/>
          </w:tcPr>
          <w:p>
            <w:pPr>
              <w:pStyle w:val="TableParagraph"/>
              <w:spacing w:before="177"/>
              <w:ind w:left="50"/>
              <w:rPr>
                <w:sz w:val="44"/>
              </w:rPr>
            </w:pPr>
            <w:r>
              <w:rPr>
                <w:rFonts w:ascii="Arial" w:eastAsia="Arial"/>
                <w:sz w:val="44"/>
              </w:rPr>
              <w:t>5</w:t>
            </w:r>
            <w:r>
              <w:rPr>
                <w:sz w:val="44"/>
              </w:rPr>
              <w:t>、安全检查制度</w:t>
            </w:r>
          </w:p>
        </w:tc>
        <w:tc>
          <w:tcPr>
            <w:tcW w:w="2110" w:type="dxa"/>
          </w:tcPr>
          <w:p>
            <w:pPr>
              <w:pStyle w:val="TableParagraph"/>
              <w:rPr>
                <w:rFonts w:ascii="Times New Roman"/>
                <w:sz w:val="44"/>
              </w:rPr>
            </w:pPr>
          </w:p>
        </w:tc>
        <w:tc>
          <w:tcPr>
            <w:tcW w:w="2014" w:type="dxa"/>
          </w:tcPr>
          <w:p>
            <w:pPr>
              <w:pStyle w:val="TableParagraph"/>
              <w:spacing w:before="204"/>
              <w:ind w:right="174"/>
              <w:jc w:val="right"/>
              <w:rPr>
                <w:rFonts w:ascii="Arial"/>
                <w:sz w:val="44"/>
              </w:rPr>
            </w:pPr>
            <w:r>
              <w:rPr>
                <w:rFonts w:ascii="Arial"/>
                <w:sz w:val="44"/>
              </w:rPr>
              <w:t>.6</w:t>
            </w:r>
          </w:p>
        </w:tc>
      </w:tr>
      <w:tr>
        <w:trPr>
          <w:trHeight w:val="960" w:hRule="atLeast"/>
        </w:trPr>
        <w:tc>
          <w:tcPr>
            <w:tcW w:w="7830" w:type="dxa"/>
          </w:tcPr>
          <w:p>
            <w:pPr>
              <w:pStyle w:val="TableParagraph"/>
              <w:spacing w:before="177"/>
              <w:ind w:left="50"/>
              <w:rPr>
                <w:sz w:val="44"/>
              </w:rPr>
            </w:pPr>
            <w:r>
              <w:rPr>
                <w:rFonts w:ascii="Arial" w:eastAsia="Arial"/>
                <w:sz w:val="44"/>
              </w:rPr>
              <w:t>6</w:t>
            </w:r>
            <w:r>
              <w:rPr>
                <w:sz w:val="44"/>
              </w:rPr>
              <w:t>、安全教育培训制度</w:t>
            </w:r>
          </w:p>
        </w:tc>
        <w:tc>
          <w:tcPr>
            <w:tcW w:w="2110" w:type="dxa"/>
          </w:tcPr>
          <w:p>
            <w:pPr>
              <w:pStyle w:val="TableParagraph"/>
              <w:rPr>
                <w:rFonts w:ascii="Times New Roman"/>
                <w:sz w:val="44"/>
              </w:rPr>
            </w:pPr>
          </w:p>
        </w:tc>
        <w:tc>
          <w:tcPr>
            <w:tcW w:w="2014" w:type="dxa"/>
          </w:tcPr>
          <w:p>
            <w:pPr>
              <w:pStyle w:val="TableParagraph"/>
              <w:spacing w:before="204"/>
              <w:ind w:right="174"/>
              <w:jc w:val="right"/>
              <w:rPr>
                <w:rFonts w:ascii="Arial"/>
                <w:sz w:val="44"/>
              </w:rPr>
            </w:pPr>
            <w:r>
              <w:rPr>
                <w:rFonts w:ascii="Arial"/>
                <w:sz w:val="44"/>
              </w:rPr>
              <w:t>.7</w:t>
            </w:r>
          </w:p>
        </w:tc>
      </w:tr>
      <w:tr>
        <w:trPr>
          <w:trHeight w:val="970" w:hRule="atLeast"/>
        </w:trPr>
        <w:tc>
          <w:tcPr>
            <w:tcW w:w="7830" w:type="dxa"/>
          </w:tcPr>
          <w:p>
            <w:pPr>
              <w:pStyle w:val="TableParagraph"/>
              <w:spacing w:before="177"/>
              <w:ind w:left="50"/>
              <w:rPr>
                <w:sz w:val="44"/>
              </w:rPr>
            </w:pPr>
            <w:r>
              <w:rPr>
                <w:rFonts w:ascii="Arial" w:eastAsia="Arial"/>
                <w:sz w:val="44"/>
              </w:rPr>
              <w:t>7</w:t>
            </w:r>
            <w:r>
              <w:rPr>
                <w:sz w:val="44"/>
              </w:rPr>
              <w:t>、安全用火、用电管理制度</w:t>
            </w:r>
          </w:p>
        </w:tc>
        <w:tc>
          <w:tcPr>
            <w:tcW w:w="2110" w:type="dxa"/>
          </w:tcPr>
          <w:p>
            <w:pPr>
              <w:pStyle w:val="TableParagraph"/>
              <w:rPr>
                <w:rFonts w:ascii="Times New Roman"/>
                <w:sz w:val="44"/>
              </w:rPr>
            </w:pPr>
          </w:p>
        </w:tc>
        <w:tc>
          <w:tcPr>
            <w:tcW w:w="2014" w:type="dxa"/>
          </w:tcPr>
          <w:p>
            <w:pPr>
              <w:pStyle w:val="TableParagraph"/>
              <w:spacing w:before="204"/>
              <w:ind w:right="297"/>
              <w:jc w:val="right"/>
              <w:rPr>
                <w:rFonts w:ascii="Arial"/>
                <w:sz w:val="44"/>
              </w:rPr>
            </w:pPr>
            <w:r>
              <w:rPr>
                <w:rFonts w:ascii="Arial"/>
                <w:sz w:val="44"/>
              </w:rPr>
              <w:t>7</w:t>
            </w:r>
          </w:p>
        </w:tc>
      </w:tr>
      <w:tr>
        <w:trPr>
          <w:trHeight w:val="970" w:hRule="atLeast"/>
        </w:trPr>
        <w:tc>
          <w:tcPr>
            <w:tcW w:w="7830" w:type="dxa"/>
          </w:tcPr>
          <w:p>
            <w:pPr>
              <w:pStyle w:val="TableParagraph"/>
              <w:spacing w:before="187"/>
              <w:ind w:left="50"/>
              <w:rPr>
                <w:sz w:val="44"/>
              </w:rPr>
            </w:pPr>
            <w:r>
              <w:rPr>
                <w:rFonts w:ascii="Arial" w:eastAsia="Arial"/>
                <w:sz w:val="44"/>
              </w:rPr>
              <w:t>8</w:t>
            </w:r>
            <w:r>
              <w:rPr>
                <w:sz w:val="44"/>
              </w:rPr>
              <w:t>、设备安全管理制度</w:t>
            </w:r>
          </w:p>
        </w:tc>
        <w:tc>
          <w:tcPr>
            <w:tcW w:w="2110" w:type="dxa"/>
          </w:tcPr>
          <w:p>
            <w:pPr>
              <w:pStyle w:val="TableParagraph"/>
              <w:rPr>
                <w:rFonts w:ascii="Times New Roman"/>
                <w:sz w:val="44"/>
              </w:rPr>
            </w:pPr>
          </w:p>
        </w:tc>
        <w:tc>
          <w:tcPr>
            <w:tcW w:w="2014" w:type="dxa"/>
          </w:tcPr>
          <w:p>
            <w:pPr>
              <w:pStyle w:val="TableParagraph"/>
              <w:spacing w:before="214"/>
              <w:ind w:right="174"/>
              <w:jc w:val="right"/>
              <w:rPr>
                <w:rFonts w:ascii="Arial"/>
                <w:sz w:val="44"/>
              </w:rPr>
            </w:pPr>
            <w:r>
              <w:rPr>
                <w:rFonts w:ascii="Arial"/>
                <w:sz w:val="44"/>
              </w:rPr>
              <w:t>.8</w:t>
            </w:r>
          </w:p>
        </w:tc>
      </w:tr>
      <w:tr>
        <w:trPr>
          <w:trHeight w:val="960" w:hRule="atLeast"/>
        </w:trPr>
        <w:tc>
          <w:tcPr>
            <w:tcW w:w="7830" w:type="dxa"/>
          </w:tcPr>
          <w:p>
            <w:pPr>
              <w:pStyle w:val="TableParagraph"/>
              <w:spacing w:before="177"/>
              <w:ind w:left="50"/>
              <w:rPr>
                <w:sz w:val="44"/>
              </w:rPr>
            </w:pPr>
            <w:r>
              <w:rPr>
                <w:rFonts w:ascii="Arial" w:eastAsia="Arial"/>
                <w:sz w:val="44"/>
              </w:rPr>
              <w:t>9</w:t>
            </w:r>
            <w:r>
              <w:rPr>
                <w:sz w:val="44"/>
              </w:rPr>
              <w:t>、防火防爆安全管理制度</w:t>
            </w:r>
          </w:p>
        </w:tc>
        <w:tc>
          <w:tcPr>
            <w:tcW w:w="2110" w:type="dxa"/>
          </w:tcPr>
          <w:p>
            <w:pPr>
              <w:pStyle w:val="TableParagraph"/>
              <w:rPr>
                <w:rFonts w:ascii="Times New Roman"/>
                <w:sz w:val="44"/>
              </w:rPr>
            </w:pPr>
          </w:p>
        </w:tc>
        <w:tc>
          <w:tcPr>
            <w:tcW w:w="2014" w:type="dxa"/>
          </w:tcPr>
          <w:p>
            <w:pPr>
              <w:pStyle w:val="TableParagraph"/>
              <w:spacing w:before="204"/>
              <w:ind w:left="990"/>
              <w:rPr>
                <w:rFonts w:ascii="Arial"/>
                <w:sz w:val="44"/>
              </w:rPr>
            </w:pPr>
            <w:r>
              <w:rPr>
                <w:rFonts w:ascii="Arial"/>
                <w:sz w:val="44"/>
              </w:rPr>
              <w:t>10</w:t>
            </w:r>
          </w:p>
        </w:tc>
      </w:tr>
      <w:tr>
        <w:trPr>
          <w:trHeight w:val="970" w:hRule="atLeast"/>
        </w:trPr>
        <w:tc>
          <w:tcPr>
            <w:tcW w:w="7830" w:type="dxa"/>
          </w:tcPr>
          <w:p>
            <w:pPr>
              <w:pStyle w:val="TableParagraph"/>
              <w:spacing w:before="177"/>
              <w:ind w:left="50"/>
              <w:rPr>
                <w:sz w:val="44"/>
              </w:rPr>
            </w:pPr>
            <w:r>
              <w:rPr>
                <w:rFonts w:ascii="Arial" w:eastAsia="Arial"/>
                <w:sz w:val="44"/>
              </w:rPr>
              <w:t>10</w:t>
            </w:r>
            <w:r>
              <w:rPr>
                <w:sz w:val="44"/>
              </w:rPr>
              <w:t>、加油员安全操作规程</w:t>
            </w:r>
          </w:p>
        </w:tc>
        <w:tc>
          <w:tcPr>
            <w:tcW w:w="2110" w:type="dxa"/>
          </w:tcPr>
          <w:p>
            <w:pPr>
              <w:pStyle w:val="TableParagraph"/>
              <w:rPr>
                <w:rFonts w:ascii="Times New Roman"/>
                <w:sz w:val="44"/>
              </w:rPr>
            </w:pPr>
          </w:p>
        </w:tc>
        <w:tc>
          <w:tcPr>
            <w:tcW w:w="2014" w:type="dxa"/>
          </w:tcPr>
          <w:p>
            <w:pPr>
              <w:pStyle w:val="TableParagraph"/>
              <w:spacing w:before="204"/>
              <w:ind w:right="47"/>
              <w:jc w:val="right"/>
              <w:rPr>
                <w:rFonts w:ascii="Arial"/>
                <w:sz w:val="44"/>
              </w:rPr>
            </w:pPr>
            <w:r>
              <w:rPr>
                <w:rFonts w:ascii="Arial"/>
                <w:sz w:val="44"/>
              </w:rPr>
              <w:t>..10</w:t>
            </w:r>
          </w:p>
        </w:tc>
      </w:tr>
      <w:tr>
        <w:trPr>
          <w:trHeight w:val="970" w:hRule="atLeast"/>
        </w:trPr>
        <w:tc>
          <w:tcPr>
            <w:tcW w:w="7830" w:type="dxa"/>
          </w:tcPr>
          <w:p>
            <w:pPr>
              <w:pStyle w:val="TableParagraph"/>
              <w:spacing w:before="187"/>
              <w:ind w:left="50"/>
              <w:rPr>
                <w:sz w:val="44"/>
              </w:rPr>
            </w:pPr>
            <w:r>
              <w:rPr>
                <w:rFonts w:ascii="Arial" w:eastAsia="Arial"/>
                <w:sz w:val="44"/>
              </w:rPr>
              <w:t>11</w:t>
            </w:r>
            <w:r>
              <w:rPr>
                <w:sz w:val="44"/>
              </w:rPr>
              <w:t>、加油安全操作规程</w:t>
            </w:r>
          </w:p>
        </w:tc>
        <w:tc>
          <w:tcPr>
            <w:tcW w:w="2110" w:type="dxa"/>
          </w:tcPr>
          <w:p>
            <w:pPr>
              <w:pStyle w:val="TableParagraph"/>
              <w:rPr>
                <w:rFonts w:ascii="Times New Roman"/>
                <w:sz w:val="44"/>
              </w:rPr>
            </w:pPr>
          </w:p>
        </w:tc>
        <w:tc>
          <w:tcPr>
            <w:tcW w:w="2014" w:type="dxa"/>
          </w:tcPr>
          <w:p>
            <w:pPr>
              <w:pStyle w:val="TableParagraph"/>
              <w:spacing w:before="214"/>
              <w:ind w:right="47"/>
              <w:jc w:val="right"/>
              <w:rPr>
                <w:rFonts w:ascii="Arial"/>
                <w:sz w:val="44"/>
              </w:rPr>
            </w:pPr>
            <w:r>
              <w:rPr>
                <w:rFonts w:ascii="Arial"/>
                <w:sz w:val="44"/>
              </w:rPr>
              <w:t>..11</w:t>
            </w:r>
          </w:p>
        </w:tc>
      </w:tr>
      <w:tr>
        <w:trPr>
          <w:trHeight w:val="960" w:hRule="atLeast"/>
        </w:trPr>
        <w:tc>
          <w:tcPr>
            <w:tcW w:w="7830" w:type="dxa"/>
          </w:tcPr>
          <w:p>
            <w:pPr>
              <w:pStyle w:val="TableParagraph"/>
              <w:spacing w:before="177"/>
              <w:ind w:left="50"/>
              <w:rPr>
                <w:sz w:val="44"/>
              </w:rPr>
            </w:pPr>
            <w:r>
              <w:rPr>
                <w:rFonts w:ascii="Arial" w:eastAsia="Arial"/>
                <w:sz w:val="44"/>
              </w:rPr>
              <w:t>12</w:t>
            </w:r>
            <w:r>
              <w:rPr>
                <w:sz w:val="44"/>
              </w:rPr>
              <w:t>、接油操作规程</w:t>
            </w:r>
          </w:p>
        </w:tc>
        <w:tc>
          <w:tcPr>
            <w:tcW w:w="2110" w:type="dxa"/>
          </w:tcPr>
          <w:p>
            <w:pPr>
              <w:pStyle w:val="TableParagraph"/>
              <w:rPr>
                <w:rFonts w:ascii="Times New Roman"/>
                <w:sz w:val="44"/>
              </w:rPr>
            </w:pPr>
          </w:p>
        </w:tc>
        <w:tc>
          <w:tcPr>
            <w:tcW w:w="2014" w:type="dxa"/>
          </w:tcPr>
          <w:p>
            <w:pPr>
              <w:pStyle w:val="TableParagraph"/>
              <w:spacing w:before="204"/>
              <w:ind w:left="1230"/>
              <w:rPr>
                <w:rFonts w:ascii="Arial"/>
                <w:sz w:val="44"/>
              </w:rPr>
            </w:pPr>
            <w:r>
              <w:rPr>
                <w:rFonts w:ascii="Arial"/>
                <w:sz w:val="44"/>
              </w:rPr>
              <w:t>12</w:t>
            </w:r>
          </w:p>
        </w:tc>
      </w:tr>
      <w:tr>
        <w:trPr>
          <w:trHeight w:val="960" w:hRule="atLeast"/>
        </w:trPr>
        <w:tc>
          <w:tcPr>
            <w:tcW w:w="7830" w:type="dxa"/>
          </w:tcPr>
          <w:p>
            <w:pPr>
              <w:pStyle w:val="TableParagraph"/>
              <w:spacing w:before="177"/>
              <w:ind w:left="50"/>
              <w:rPr>
                <w:sz w:val="44"/>
              </w:rPr>
            </w:pPr>
            <w:r>
              <w:rPr>
                <w:rFonts w:ascii="Arial" w:eastAsia="Arial"/>
                <w:sz w:val="44"/>
              </w:rPr>
              <w:t>13</w:t>
            </w:r>
            <w:r>
              <w:rPr>
                <w:sz w:val="44"/>
              </w:rPr>
              <w:t>、卸油安全操作规程</w:t>
            </w:r>
          </w:p>
        </w:tc>
        <w:tc>
          <w:tcPr>
            <w:tcW w:w="2110" w:type="dxa"/>
          </w:tcPr>
          <w:p>
            <w:pPr>
              <w:pStyle w:val="TableParagraph"/>
              <w:rPr>
                <w:rFonts w:ascii="Times New Roman"/>
                <w:sz w:val="44"/>
              </w:rPr>
            </w:pPr>
          </w:p>
        </w:tc>
        <w:tc>
          <w:tcPr>
            <w:tcW w:w="2014" w:type="dxa"/>
          </w:tcPr>
          <w:p>
            <w:pPr>
              <w:pStyle w:val="TableParagraph"/>
              <w:spacing w:before="204"/>
              <w:ind w:left="1230"/>
              <w:rPr>
                <w:rFonts w:ascii="Arial"/>
                <w:sz w:val="44"/>
              </w:rPr>
            </w:pPr>
            <w:r>
              <w:rPr>
                <w:rFonts w:ascii="Arial"/>
                <w:sz w:val="44"/>
              </w:rPr>
              <w:t>14</w:t>
            </w:r>
          </w:p>
        </w:tc>
      </w:tr>
      <w:tr>
        <w:trPr>
          <w:trHeight w:val="970" w:hRule="atLeast"/>
        </w:trPr>
        <w:tc>
          <w:tcPr>
            <w:tcW w:w="7830" w:type="dxa"/>
          </w:tcPr>
          <w:p>
            <w:pPr>
              <w:pStyle w:val="TableParagraph"/>
              <w:spacing w:before="177"/>
              <w:ind w:left="50"/>
              <w:rPr>
                <w:sz w:val="44"/>
              </w:rPr>
            </w:pPr>
            <w:r>
              <w:rPr>
                <w:rFonts w:ascii="Arial" w:eastAsia="Arial"/>
                <w:sz w:val="44"/>
              </w:rPr>
              <w:t>14</w:t>
            </w:r>
            <w:r>
              <w:rPr>
                <w:sz w:val="44"/>
              </w:rPr>
              <w:t>、计量员安全操作规程</w:t>
            </w:r>
          </w:p>
        </w:tc>
        <w:tc>
          <w:tcPr>
            <w:tcW w:w="2110" w:type="dxa"/>
          </w:tcPr>
          <w:p>
            <w:pPr>
              <w:pStyle w:val="TableParagraph"/>
              <w:rPr>
                <w:rFonts w:ascii="Times New Roman"/>
                <w:sz w:val="44"/>
              </w:rPr>
            </w:pPr>
          </w:p>
        </w:tc>
        <w:tc>
          <w:tcPr>
            <w:tcW w:w="2014" w:type="dxa"/>
          </w:tcPr>
          <w:p>
            <w:pPr>
              <w:pStyle w:val="TableParagraph"/>
              <w:spacing w:before="204"/>
              <w:ind w:left="1230"/>
              <w:rPr>
                <w:rFonts w:ascii="Arial"/>
                <w:sz w:val="44"/>
              </w:rPr>
            </w:pPr>
            <w:r>
              <w:rPr>
                <w:rFonts w:ascii="Arial"/>
                <w:sz w:val="44"/>
              </w:rPr>
              <w:t>15</w:t>
            </w:r>
          </w:p>
        </w:tc>
      </w:tr>
      <w:tr>
        <w:trPr>
          <w:trHeight w:val="751" w:hRule="atLeast"/>
        </w:trPr>
        <w:tc>
          <w:tcPr>
            <w:tcW w:w="7830" w:type="dxa"/>
          </w:tcPr>
          <w:p>
            <w:pPr>
              <w:pStyle w:val="TableParagraph"/>
              <w:spacing w:line="544" w:lineRule="exact" w:before="187"/>
              <w:ind w:left="50"/>
              <w:rPr>
                <w:sz w:val="44"/>
              </w:rPr>
            </w:pPr>
            <w:r>
              <w:rPr>
                <w:rFonts w:ascii="Arial" w:eastAsia="Arial"/>
                <w:sz w:val="44"/>
              </w:rPr>
              <w:t>15</w:t>
            </w:r>
            <w:r>
              <w:rPr>
                <w:sz w:val="44"/>
              </w:rPr>
              <w:t>、职业病危害防治管理制度</w:t>
            </w:r>
          </w:p>
        </w:tc>
        <w:tc>
          <w:tcPr>
            <w:tcW w:w="2110" w:type="dxa"/>
          </w:tcPr>
          <w:p>
            <w:pPr>
              <w:pStyle w:val="TableParagraph"/>
              <w:rPr>
                <w:rFonts w:ascii="Times New Roman"/>
                <w:sz w:val="44"/>
              </w:rPr>
            </w:pPr>
          </w:p>
        </w:tc>
        <w:tc>
          <w:tcPr>
            <w:tcW w:w="2014" w:type="dxa"/>
          </w:tcPr>
          <w:p>
            <w:pPr>
              <w:pStyle w:val="TableParagraph"/>
              <w:rPr>
                <w:rFonts w:ascii="Times New Roman"/>
                <w:sz w:val="44"/>
              </w:rPr>
            </w:pPr>
          </w:p>
        </w:tc>
      </w:tr>
    </w:tbl>
    <w:p>
      <w:pPr>
        <w:spacing w:after="0"/>
        <w:rPr>
          <w:rFonts w:ascii="Times New Roman"/>
          <w:sz w:val="44"/>
        </w:rPr>
        <w:sectPr>
          <w:footerReference w:type="default" r:id="rId5"/>
          <w:type w:val="continuous"/>
          <w:pgSz w:w="19120" w:h="27060"/>
          <w:pgMar w:footer="2100" w:top="2400" w:bottom="2300" w:left="2700" w:right="2680"/>
          <w:pgNumType w:start="1"/>
        </w:sect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5"/>
        <w:ind w:left="0"/>
        <w:rPr>
          <w:rFonts w:ascii="Times New Roman"/>
          <w:sz w:val="23"/>
        </w:rPr>
      </w:pPr>
    </w:p>
    <w:p>
      <w:pPr>
        <w:pStyle w:val="Heading1"/>
      </w:pPr>
      <w:r>
        <w:rPr/>
        <w:t>消防安全应急组织机构及职责</w:t>
      </w:r>
    </w:p>
    <w:p>
      <w:pPr>
        <w:pStyle w:val="BodyText"/>
        <w:ind w:left="0"/>
        <w:rPr>
          <w:sz w:val="72"/>
        </w:rPr>
      </w:pPr>
    </w:p>
    <w:p>
      <w:pPr>
        <w:pStyle w:val="BodyText"/>
        <w:spacing w:before="518"/>
        <w:ind w:left="1100"/>
      </w:pPr>
      <w:r>
        <w:rPr/>
        <w:t>一、应急组织形式</w:t>
      </w:r>
    </w:p>
    <w:p>
      <w:pPr>
        <w:pStyle w:val="BodyText"/>
        <w:spacing w:before="9"/>
        <w:ind w:left="0"/>
        <w:rPr>
          <w:sz w:val="38"/>
        </w:rPr>
      </w:pPr>
    </w:p>
    <w:p>
      <w:pPr>
        <w:pStyle w:val="BodyText"/>
        <w:spacing w:line="422" w:lineRule="auto"/>
        <w:ind w:right="1259" w:firstLine="940"/>
      </w:pPr>
      <w:r>
        <w:rPr/>
        <w:t>加油站成立事故应急救援指挥部，总指挥由加油站站长担任，副总指挥分管安全的副站长担任，下设事故抢险组、医疗救援组、物资供应保障组、事故保卫与警戒组、通讯联络组、消防与防洪抢险组、事故调查组。</w:t>
      </w:r>
    </w:p>
    <w:p>
      <w:pPr>
        <w:pStyle w:val="BodyText"/>
        <w:spacing w:before="31"/>
        <w:ind w:left="880"/>
      </w:pPr>
      <w:r>
        <w:rPr>
          <w:rFonts w:ascii="Arial" w:eastAsia="Arial"/>
        </w:rPr>
        <w:t>1</w:t>
      </w:r>
      <w:r>
        <w:rPr/>
        <w:t>、组织结构图</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
        <w:ind w:left="0"/>
        <w:rPr>
          <w:sz w:val="10"/>
        </w:rPr>
      </w:pPr>
      <w:r>
        <w:rPr/>
        <w:pict>
          <v:group style="position:absolute;margin-left:135.643036pt;margin-top:8.459806pt;width:684.2pt;height:473.8pt;mso-position-horizontal-relative:page;mso-position-vertical-relative:paragraph;z-index:1264;mso-wrap-distance-left:0;mso-wrap-distance-right:0" coordorigin="2713,169" coordsize="13684,9476">
            <v:shape style="position:absolute;left:2712;top:169;width:13684;height:9476" type="#_x0000_t75" stroked="false">
              <v:imagedata r:id="rId7" o:title=""/>
            </v:shape>
            <v:shape style="position:absolute;left:7860;top:493;width:3100;height:502" type="#_x0000_t202" filled="false" stroked="false">
              <v:textbox inset="0,0,0,0">
                <w:txbxContent>
                  <w:p>
                    <w:pPr>
                      <w:spacing w:line="502" w:lineRule="exact" w:before="0"/>
                      <w:ind w:left="0" w:right="0" w:firstLine="0"/>
                      <w:jc w:val="left"/>
                      <w:rPr>
                        <w:sz w:val="44"/>
                      </w:rPr>
                    </w:pPr>
                    <w:r>
                      <w:rPr>
                        <w:sz w:val="44"/>
                      </w:rPr>
                      <w:t>应急救援总指挥</w:t>
                    </w:r>
                  </w:p>
                </w:txbxContent>
              </v:textbox>
              <w10:wrap type="none"/>
            </v:shape>
            <v:shape style="position:absolute;left:7620;top:2173;width:3540;height:502" type="#_x0000_t202" filled="false" stroked="false">
              <v:textbox inset="0,0,0,0">
                <w:txbxContent>
                  <w:p>
                    <w:pPr>
                      <w:spacing w:line="502" w:lineRule="exact" w:before="0"/>
                      <w:ind w:left="0" w:right="0" w:firstLine="0"/>
                      <w:jc w:val="left"/>
                      <w:rPr>
                        <w:sz w:val="44"/>
                      </w:rPr>
                    </w:pPr>
                    <w:r>
                      <w:rPr>
                        <w:sz w:val="44"/>
                      </w:rPr>
                      <w:t>应急救援副总指挥</w:t>
                    </w:r>
                  </w:p>
                </w:txbxContent>
              </v:textbox>
              <w10:wrap type="none"/>
            </v:shape>
            <v:shape style="position:absolute;left:3000;top:4813;width:460;height:4362" type="#_x0000_t202" filled="false" stroked="false">
              <v:textbox inset="0,0,0,0">
                <w:txbxContent>
                  <w:p>
                    <w:pPr>
                      <w:spacing w:line="502" w:lineRule="exact" w:before="0"/>
                      <w:ind w:left="0" w:right="0" w:firstLine="0"/>
                      <w:jc w:val="left"/>
                      <w:rPr>
                        <w:sz w:val="44"/>
                      </w:rPr>
                    </w:pPr>
                    <w:r>
                      <w:rPr>
                        <w:sz w:val="44"/>
                      </w:rPr>
                      <w:t>事</w:t>
                    </w:r>
                  </w:p>
                  <w:p>
                    <w:pPr>
                      <w:spacing w:line="273" w:lineRule="auto" w:before="76"/>
                      <w:ind w:left="0" w:right="18" w:firstLine="0"/>
                      <w:jc w:val="both"/>
                      <w:rPr>
                        <w:sz w:val="44"/>
                      </w:rPr>
                    </w:pPr>
                    <w:r>
                      <w:rPr>
                        <w:sz w:val="44"/>
                      </w:rPr>
                      <w:t>故现场抢险</w:t>
                    </w:r>
                  </w:p>
                  <w:p>
                    <w:pPr>
                      <w:spacing w:before="7"/>
                      <w:ind w:left="0" w:right="0" w:firstLine="0"/>
                      <w:jc w:val="both"/>
                      <w:rPr>
                        <w:sz w:val="44"/>
                      </w:rPr>
                    </w:pPr>
                    <w:r>
                      <w:rPr>
                        <w:sz w:val="44"/>
                      </w:rPr>
                      <w:t>组</w:t>
                    </w:r>
                  </w:p>
                </w:txbxContent>
              </v:textbox>
              <w10:wrap type="none"/>
            </v:shape>
            <v:shape style="position:absolute;left:5100;top:5053;width:460;height:4362" type="#_x0000_t202" filled="false" stroked="false">
              <v:textbox inset="0,0,0,0">
                <w:txbxContent>
                  <w:p>
                    <w:pPr>
                      <w:spacing w:line="502" w:lineRule="exact" w:before="0"/>
                      <w:ind w:left="0" w:right="0" w:firstLine="0"/>
                      <w:jc w:val="left"/>
                      <w:rPr>
                        <w:sz w:val="44"/>
                      </w:rPr>
                    </w:pPr>
                    <w:r>
                      <w:rPr>
                        <w:sz w:val="44"/>
                      </w:rPr>
                      <w:t>物</w:t>
                    </w:r>
                  </w:p>
                  <w:p>
                    <w:pPr>
                      <w:spacing w:line="273" w:lineRule="auto" w:before="76"/>
                      <w:ind w:left="0" w:right="18" w:firstLine="0"/>
                      <w:jc w:val="both"/>
                      <w:rPr>
                        <w:sz w:val="44"/>
                      </w:rPr>
                    </w:pPr>
                    <w:r>
                      <w:rPr>
                        <w:sz w:val="44"/>
                      </w:rPr>
                      <w:t>资供应保障</w:t>
                    </w:r>
                  </w:p>
                  <w:p>
                    <w:pPr>
                      <w:spacing w:before="7"/>
                      <w:ind w:left="0" w:right="0" w:firstLine="0"/>
                      <w:jc w:val="both"/>
                      <w:rPr>
                        <w:sz w:val="44"/>
                      </w:rPr>
                    </w:pPr>
                    <w:r>
                      <w:rPr>
                        <w:sz w:val="44"/>
                      </w:rPr>
                      <w:t>组</w:t>
                    </w:r>
                  </w:p>
                </w:txbxContent>
              </v:textbox>
              <w10:wrap type="none"/>
            </v:shape>
            <v:shape style="position:absolute;left:7200;top:5693;width:460;height:3062" type="#_x0000_t202" filled="false" stroked="false">
              <v:textbox inset="0,0,0,0">
                <w:txbxContent>
                  <w:p>
                    <w:pPr>
                      <w:spacing w:line="502" w:lineRule="exact" w:before="0"/>
                      <w:ind w:left="0" w:right="0" w:firstLine="0"/>
                      <w:jc w:val="left"/>
                      <w:rPr>
                        <w:sz w:val="44"/>
                      </w:rPr>
                    </w:pPr>
                    <w:r>
                      <w:rPr>
                        <w:sz w:val="44"/>
                      </w:rPr>
                      <w:t>医</w:t>
                    </w:r>
                  </w:p>
                  <w:p>
                    <w:pPr>
                      <w:spacing w:line="640" w:lineRule="atLeast" w:before="0"/>
                      <w:ind w:left="0" w:right="18" w:firstLine="0"/>
                      <w:jc w:val="both"/>
                      <w:rPr>
                        <w:sz w:val="44"/>
                      </w:rPr>
                    </w:pPr>
                    <w:r>
                      <w:rPr>
                        <w:sz w:val="44"/>
                      </w:rPr>
                      <w:t>疗救援组</w:t>
                    </w:r>
                  </w:p>
                </w:txbxContent>
              </v:textbox>
              <w10:wrap type="none"/>
            </v:shape>
            <v:shape style="position:absolute;left:9300;top:5693;width:460;height:3062" type="#_x0000_t202" filled="false" stroked="false">
              <v:textbox inset="0,0,0,0">
                <w:txbxContent>
                  <w:p>
                    <w:pPr>
                      <w:spacing w:line="502" w:lineRule="exact" w:before="0"/>
                      <w:ind w:left="0" w:right="0" w:firstLine="0"/>
                      <w:jc w:val="left"/>
                      <w:rPr>
                        <w:sz w:val="44"/>
                      </w:rPr>
                    </w:pPr>
                    <w:r>
                      <w:rPr>
                        <w:sz w:val="44"/>
                      </w:rPr>
                      <w:t>保</w:t>
                    </w:r>
                  </w:p>
                  <w:p>
                    <w:pPr>
                      <w:spacing w:line="640" w:lineRule="atLeast" w:before="0"/>
                      <w:ind w:left="0" w:right="18" w:firstLine="0"/>
                      <w:jc w:val="both"/>
                      <w:rPr>
                        <w:sz w:val="44"/>
                      </w:rPr>
                    </w:pPr>
                    <w:r>
                      <w:rPr>
                        <w:sz w:val="44"/>
                      </w:rPr>
                      <w:t>卫警戒组</w:t>
                    </w:r>
                  </w:p>
                </w:txbxContent>
              </v:textbox>
              <w10:wrap type="none"/>
            </v:shape>
            <v:shape style="position:absolute;left:11420;top:5133;width:460;height:4102" type="#_x0000_t202" filled="false" stroked="false">
              <v:textbox inset="0,0,0,0">
                <w:txbxContent>
                  <w:p>
                    <w:pPr>
                      <w:spacing w:line="480" w:lineRule="exact" w:before="0"/>
                      <w:ind w:left="0" w:right="0" w:firstLine="0"/>
                      <w:jc w:val="left"/>
                      <w:rPr>
                        <w:sz w:val="44"/>
                      </w:rPr>
                    </w:pPr>
                    <w:r>
                      <w:rPr>
                        <w:sz w:val="44"/>
                      </w:rPr>
                      <w:t>消</w:t>
                    </w:r>
                  </w:p>
                  <w:p>
                    <w:pPr>
                      <w:spacing w:line="218" w:lineRule="auto" w:before="17"/>
                      <w:ind w:left="0" w:right="18" w:firstLine="0"/>
                      <w:jc w:val="both"/>
                      <w:rPr>
                        <w:sz w:val="44"/>
                      </w:rPr>
                    </w:pPr>
                    <w:r>
                      <w:rPr>
                        <w:sz w:val="44"/>
                      </w:rPr>
                      <w:t>防与防洪抢险组</w:t>
                    </w:r>
                  </w:p>
                </w:txbxContent>
              </v:textbox>
              <w10:wrap type="none"/>
            </v:shape>
            <v:shape style="position:absolute;left:13520;top:5693;width:460;height:3062" type="#_x0000_t202" filled="false" stroked="false">
              <v:textbox inset="0,0,0,0">
                <w:txbxContent>
                  <w:p>
                    <w:pPr>
                      <w:spacing w:line="502" w:lineRule="exact" w:before="0"/>
                      <w:ind w:left="0" w:right="0" w:firstLine="0"/>
                      <w:jc w:val="left"/>
                      <w:rPr>
                        <w:sz w:val="44"/>
                      </w:rPr>
                    </w:pPr>
                    <w:r>
                      <w:rPr>
                        <w:sz w:val="44"/>
                      </w:rPr>
                      <w:t>通</w:t>
                    </w:r>
                  </w:p>
                  <w:p>
                    <w:pPr>
                      <w:spacing w:line="640" w:lineRule="atLeast" w:before="0"/>
                      <w:ind w:left="0" w:right="18" w:firstLine="0"/>
                      <w:jc w:val="both"/>
                      <w:rPr>
                        <w:sz w:val="44"/>
                      </w:rPr>
                    </w:pPr>
                    <w:r>
                      <w:rPr>
                        <w:sz w:val="44"/>
                      </w:rPr>
                      <w:t>讯联络组</w:t>
                    </w:r>
                  </w:p>
                </w:txbxContent>
              </v:textbox>
              <w10:wrap type="none"/>
            </v:shape>
            <v:shape style="position:absolute;left:15660;top:5693;width:460;height:3062" type="#_x0000_t202" filled="false" stroked="false">
              <v:textbox inset="0,0,0,0">
                <w:txbxContent>
                  <w:p>
                    <w:pPr>
                      <w:spacing w:line="502" w:lineRule="exact" w:before="0"/>
                      <w:ind w:left="0" w:right="0" w:firstLine="0"/>
                      <w:jc w:val="left"/>
                      <w:rPr>
                        <w:sz w:val="44"/>
                      </w:rPr>
                    </w:pPr>
                    <w:r>
                      <w:rPr>
                        <w:sz w:val="44"/>
                      </w:rPr>
                      <w:t>事</w:t>
                    </w:r>
                  </w:p>
                  <w:p>
                    <w:pPr>
                      <w:spacing w:line="640" w:lineRule="atLeast" w:before="0"/>
                      <w:ind w:left="0" w:right="18" w:firstLine="0"/>
                      <w:jc w:val="both"/>
                      <w:rPr>
                        <w:sz w:val="44"/>
                      </w:rPr>
                    </w:pPr>
                    <w:r>
                      <w:rPr>
                        <w:sz w:val="44"/>
                      </w:rPr>
                      <w:t>故调查组</w:t>
                    </w:r>
                  </w:p>
                </w:txbxContent>
              </v:textbox>
              <w10:wrap type="none"/>
            </v:shape>
            <w10:wrap type="topAndBottom"/>
          </v:group>
        </w:pict>
      </w:r>
    </w:p>
    <w:p>
      <w:pPr>
        <w:spacing w:after="0"/>
        <w:rPr>
          <w:sz w:val="10"/>
        </w:rPr>
        <w:sectPr>
          <w:pgSz w:w="19120" w:h="27060"/>
          <w:pgMar w:header="0" w:footer="2100" w:top="2620" w:bottom="2300" w:left="2700" w:right="2680"/>
        </w:sectPr>
      </w:pPr>
    </w:p>
    <w:p>
      <w:pPr>
        <w:pStyle w:val="BodyText"/>
        <w:spacing w:before="40"/>
        <w:ind w:left="880"/>
      </w:pPr>
      <w:r>
        <w:rPr>
          <w:rFonts w:ascii="Arial" w:eastAsia="Arial"/>
        </w:rPr>
        <w:t>2</w:t>
      </w:r>
      <w:r>
        <w:rPr/>
        <w:t>、消防安全应急组织负责人名单：</w:t>
      </w:r>
    </w:p>
    <w:p>
      <w:pPr>
        <w:pStyle w:val="BodyText"/>
        <w:ind w:left="0"/>
        <w:rPr>
          <w:sz w:val="14"/>
        </w:rPr>
      </w:pPr>
      <w:r>
        <w:rPr/>
        <w:pict>
          <v:group style="position:absolute;margin-left:135.643036pt;margin-top:10.925378pt;width:685.2pt;height:206.5pt;mso-position-horizontal-relative:page;mso-position-vertical-relative:paragraph;z-index:1504;mso-wrap-distance-left:0;mso-wrap-distance-right:0" coordorigin="2713,219" coordsize="13704,4130">
            <v:shape style="position:absolute;left:2712;top:218;width:13704;height:4130" type="#_x0000_t75" stroked="false">
              <v:imagedata r:id="rId8" o:title=""/>
            </v:shape>
            <v:shape style="position:absolute;left:2860;top:515;width:440;height:480" type="#_x0000_t202" filled="false" stroked="false">
              <v:textbox inset="0,0,0,0">
                <w:txbxContent>
                  <w:p>
                    <w:pPr>
                      <w:spacing w:line="479" w:lineRule="exact" w:before="0"/>
                      <w:ind w:left="0" w:right="0" w:firstLine="0"/>
                      <w:jc w:val="left"/>
                      <w:rPr>
                        <w:sz w:val="42"/>
                      </w:rPr>
                    </w:pPr>
                    <w:r>
                      <w:rPr>
                        <w:sz w:val="42"/>
                      </w:rPr>
                      <w:t>姓</w:t>
                    </w:r>
                  </w:p>
                </w:txbxContent>
              </v:textbox>
              <w10:wrap type="none"/>
            </v:shape>
            <v:shape style="position:absolute;left:3760;top:515;width:440;height:480" type="#_x0000_t202" filled="false" stroked="false">
              <v:textbox inset="0,0,0,0">
                <w:txbxContent>
                  <w:p>
                    <w:pPr>
                      <w:spacing w:line="479" w:lineRule="exact" w:before="0"/>
                      <w:ind w:left="0" w:right="0" w:firstLine="0"/>
                      <w:jc w:val="left"/>
                      <w:rPr>
                        <w:sz w:val="42"/>
                      </w:rPr>
                    </w:pPr>
                    <w:r>
                      <w:rPr>
                        <w:sz w:val="42"/>
                      </w:rPr>
                      <w:t>名</w:t>
                    </w:r>
                  </w:p>
                </w:txbxContent>
              </v:textbox>
              <w10:wrap type="none"/>
            </v:shape>
            <v:shape style="position:absolute;left:4780;top:515;width:440;height:480" type="#_x0000_t202" filled="false" stroked="false">
              <v:textbox inset="0,0,0,0">
                <w:txbxContent>
                  <w:p>
                    <w:pPr>
                      <w:spacing w:line="479" w:lineRule="exact" w:before="0"/>
                      <w:ind w:left="0" w:right="0" w:firstLine="0"/>
                      <w:jc w:val="left"/>
                      <w:rPr>
                        <w:sz w:val="42"/>
                      </w:rPr>
                    </w:pPr>
                    <w:r>
                      <w:rPr>
                        <w:sz w:val="42"/>
                      </w:rPr>
                      <w:t>职</w:t>
                    </w:r>
                  </w:p>
                </w:txbxContent>
              </v:textbox>
              <w10:wrap type="none"/>
            </v:shape>
            <v:shape style="position:absolute;left:5680;top:515;width:440;height:480" type="#_x0000_t202" filled="false" stroked="false">
              <v:textbox inset="0,0,0,0">
                <w:txbxContent>
                  <w:p>
                    <w:pPr>
                      <w:spacing w:line="479" w:lineRule="exact" w:before="0"/>
                      <w:ind w:left="0" w:right="0" w:firstLine="0"/>
                      <w:jc w:val="left"/>
                      <w:rPr>
                        <w:sz w:val="42"/>
                      </w:rPr>
                    </w:pPr>
                    <w:r>
                      <w:rPr>
                        <w:sz w:val="42"/>
                      </w:rPr>
                      <w:t>务</w:t>
                    </w:r>
                  </w:p>
                </w:txbxContent>
              </v:textbox>
              <w10:wrap type="none"/>
            </v:shape>
            <v:shape style="position:absolute;left:6820;top:515;width:1700;height:480" type="#_x0000_t202" filled="false" stroked="false">
              <v:textbox inset="0,0,0,0">
                <w:txbxContent>
                  <w:p>
                    <w:pPr>
                      <w:spacing w:line="479" w:lineRule="exact" w:before="0"/>
                      <w:ind w:left="0" w:right="0" w:firstLine="0"/>
                      <w:jc w:val="left"/>
                      <w:rPr>
                        <w:sz w:val="42"/>
                      </w:rPr>
                    </w:pPr>
                    <w:r>
                      <w:rPr>
                        <w:sz w:val="42"/>
                      </w:rPr>
                      <w:t>联系电话</w:t>
                    </w:r>
                  </w:p>
                </w:txbxContent>
              </v:textbox>
              <w10:wrap type="none"/>
            </v:shape>
            <v:shape style="position:absolute;left:9740;top:515;width:440;height:480" type="#_x0000_t202" filled="false" stroked="false">
              <v:textbox inset="0,0,0,0">
                <w:txbxContent>
                  <w:p>
                    <w:pPr>
                      <w:spacing w:line="479" w:lineRule="exact" w:before="0"/>
                      <w:ind w:left="0" w:right="0" w:firstLine="0"/>
                      <w:jc w:val="left"/>
                      <w:rPr>
                        <w:sz w:val="42"/>
                      </w:rPr>
                    </w:pPr>
                    <w:r>
                      <w:rPr>
                        <w:sz w:val="42"/>
                      </w:rPr>
                      <w:t>姓</w:t>
                    </w:r>
                  </w:p>
                </w:txbxContent>
              </v:textbox>
              <w10:wrap type="none"/>
            </v:shape>
            <v:shape style="position:absolute;left:10640;top:515;width:1240;height:480" type="#_x0000_t202" filled="false" stroked="false">
              <v:textbox inset="0,0,0,0">
                <w:txbxContent>
                  <w:p>
                    <w:pPr>
                      <w:tabs>
                        <w:tab w:pos="799" w:val="left" w:leader="none"/>
                      </w:tabs>
                      <w:spacing w:line="479" w:lineRule="exact" w:before="0"/>
                      <w:ind w:left="0" w:right="0" w:firstLine="0"/>
                      <w:jc w:val="left"/>
                      <w:rPr>
                        <w:sz w:val="42"/>
                      </w:rPr>
                    </w:pPr>
                    <w:r>
                      <w:rPr>
                        <w:sz w:val="42"/>
                      </w:rPr>
                      <w:t>名</w:t>
                      <w:tab/>
                      <w:t>职</w:t>
                    </w:r>
                  </w:p>
                </w:txbxContent>
              </v:textbox>
              <w10:wrap type="none"/>
            </v:shape>
            <v:shape style="position:absolute;left:12340;top:515;width:440;height:480" type="#_x0000_t202" filled="false" stroked="false">
              <v:textbox inset="0,0,0,0">
                <w:txbxContent>
                  <w:p>
                    <w:pPr>
                      <w:spacing w:line="479" w:lineRule="exact" w:before="0"/>
                      <w:ind w:left="0" w:right="0" w:firstLine="0"/>
                      <w:jc w:val="left"/>
                      <w:rPr>
                        <w:sz w:val="42"/>
                      </w:rPr>
                    </w:pPr>
                    <w:r>
                      <w:rPr>
                        <w:sz w:val="42"/>
                      </w:rPr>
                      <w:t>务</w:t>
                    </w:r>
                  </w:p>
                </w:txbxContent>
              </v:textbox>
              <w10:wrap type="none"/>
            </v:shape>
            <v:shape style="position:absolute;left:13480;top:515;width:1700;height:480" type="#_x0000_t202" filled="false" stroked="false">
              <v:textbox inset="0,0,0,0">
                <w:txbxContent>
                  <w:p>
                    <w:pPr>
                      <w:spacing w:line="479" w:lineRule="exact" w:before="0"/>
                      <w:ind w:left="0" w:right="0" w:firstLine="0"/>
                      <w:jc w:val="left"/>
                      <w:rPr>
                        <w:sz w:val="42"/>
                      </w:rPr>
                    </w:pPr>
                    <w:r>
                      <w:rPr>
                        <w:sz w:val="42"/>
                      </w:rPr>
                      <w:t>联系电话</w:t>
                    </w:r>
                  </w:p>
                </w:txbxContent>
              </v:textbox>
              <w10:wrap type="none"/>
            </v:shape>
            <w10:wrap type="topAndBottom"/>
          </v:group>
        </w:pict>
      </w: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9"/>
        </w:rPr>
      </w:pPr>
    </w:p>
    <w:p>
      <w:pPr>
        <w:pStyle w:val="BodyText"/>
        <w:spacing w:before="38"/>
        <w:ind w:left="50" w:right="8069"/>
        <w:jc w:val="center"/>
      </w:pPr>
      <w:r>
        <w:rPr/>
        <w:t>二、指挥机构及职责</w:t>
      </w:r>
    </w:p>
    <w:p>
      <w:pPr>
        <w:pStyle w:val="BodyText"/>
        <w:spacing w:before="9"/>
        <w:ind w:left="0"/>
        <w:rPr>
          <w:sz w:val="38"/>
        </w:rPr>
      </w:pPr>
    </w:p>
    <w:p>
      <w:pPr>
        <w:pStyle w:val="BodyText"/>
        <w:ind w:left="1340"/>
      </w:pPr>
      <w:r>
        <w:rPr>
          <w:rFonts w:ascii="Arial" w:eastAsia="Arial"/>
        </w:rPr>
        <w:t>1</w:t>
      </w:r>
      <w:r>
        <w:rPr/>
        <w:t>、总指挥职责</w:t>
      </w:r>
    </w:p>
    <w:p>
      <w:pPr>
        <w:pStyle w:val="BodyText"/>
        <w:spacing w:before="437"/>
        <w:ind w:left="1340"/>
      </w:pPr>
      <w:r>
        <w:rPr>
          <w:rFonts w:ascii="Arial" w:eastAsia="Arial"/>
        </w:rPr>
        <w:t>1)</w:t>
      </w:r>
      <w:r>
        <w:rPr/>
        <w:t>总指挥决定启动和终止重大事故应急救援预案；</w:t>
      </w:r>
    </w:p>
    <w:p>
      <w:pPr>
        <w:pStyle w:val="BodyText"/>
        <w:spacing w:before="416"/>
        <w:ind w:left="1340"/>
      </w:pPr>
      <w:r>
        <w:rPr>
          <w:rFonts w:ascii="Arial" w:eastAsia="Arial"/>
        </w:rPr>
        <w:t>2)</w:t>
      </w:r>
      <w:r>
        <w:rPr/>
        <w:t>确定现场指挥人员；</w:t>
      </w:r>
    </w:p>
    <w:p>
      <w:pPr>
        <w:pStyle w:val="BodyText"/>
        <w:spacing w:before="456"/>
        <w:ind w:left="1340"/>
      </w:pPr>
      <w:r>
        <w:rPr>
          <w:rFonts w:ascii="Arial" w:eastAsia="Arial"/>
        </w:rPr>
        <w:t>3)</w:t>
      </w:r>
      <w:r>
        <w:rPr/>
        <w:t>负责人员应急资源应急队伍的调配；</w:t>
      </w:r>
    </w:p>
    <w:p>
      <w:pPr>
        <w:pStyle w:val="BodyText"/>
        <w:spacing w:before="436"/>
        <w:ind w:left="1340"/>
      </w:pPr>
      <w:r>
        <w:rPr>
          <w:rFonts w:ascii="Arial" w:eastAsia="Arial"/>
        </w:rPr>
        <w:t>4)</w:t>
      </w:r>
      <w:r>
        <w:rPr/>
        <w:t>接受政府和上级部门的调动：</w:t>
      </w:r>
    </w:p>
    <w:p>
      <w:pPr>
        <w:pStyle w:val="BodyText"/>
        <w:spacing w:before="457"/>
        <w:ind w:left="1340"/>
      </w:pPr>
      <w:r>
        <w:rPr>
          <w:rFonts w:ascii="Arial" w:eastAsia="Arial"/>
        </w:rPr>
        <w:t>5)</w:t>
      </w:r>
      <w:r>
        <w:rPr/>
        <w:t>组织召开重大救援具体方案的讨论，并决策批准：</w:t>
      </w:r>
    </w:p>
    <w:p>
      <w:pPr>
        <w:pStyle w:val="BodyText"/>
        <w:spacing w:before="436"/>
        <w:ind w:left="1340"/>
      </w:pPr>
      <w:r>
        <w:rPr>
          <w:rFonts w:ascii="Arial" w:eastAsia="Arial"/>
        </w:rPr>
        <w:t>6)</w:t>
      </w:r>
      <w:r>
        <w:rPr/>
        <w:t>组织危险化学品工业硫酸事故信息的上报工作；</w:t>
      </w:r>
    </w:p>
    <w:p>
      <w:pPr>
        <w:pStyle w:val="BodyText"/>
        <w:spacing w:before="416"/>
        <w:ind w:left="1340"/>
      </w:pPr>
      <w:r>
        <w:rPr>
          <w:rFonts w:ascii="Arial" w:eastAsia="Arial"/>
        </w:rPr>
        <w:t>7)</w:t>
      </w:r>
      <w:r>
        <w:rPr/>
        <w:t>组织应急救援预案的演练；</w:t>
      </w:r>
    </w:p>
    <w:p>
      <w:pPr>
        <w:pStyle w:val="BodyText"/>
        <w:spacing w:before="456"/>
        <w:ind w:left="1340"/>
      </w:pPr>
      <w:r>
        <w:rPr>
          <w:rFonts w:ascii="Arial" w:eastAsia="Arial"/>
        </w:rPr>
        <w:t>8)</w:t>
      </w:r>
      <w:r>
        <w:rPr/>
        <w:t>组织保护事故现场：</w:t>
      </w:r>
    </w:p>
    <w:p>
      <w:pPr>
        <w:pStyle w:val="BodyText"/>
        <w:spacing w:line="417" w:lineRule="auto" w:before="437"/>
        <w:ind w:right="1322" w:firstLine="1180"/>
      </w:pPr>
      <w:r>
        <w:rPr>
          <w:rFonts w:ascii="Arial" w:eastAsia="Arial"/>
        </w:rPr>
        <w:t>9) </w:t>
      </w:r>
      <w:r>
        <w:rPr/>
        <w:t>负责风险信息的上报，对可能影响区域的通报和对社会的发布。</w:t>
      </w:r>
    </w:p>
    <w:p>
      <w:pPr>
        <w:pStyle w:val="BodyText"/>
        <w:spacing w:before="58"/>
        <w:ind w:left="1100"/>
      </w:pPr>
      <w:r>
        <w:rPr>
          <w:rFonts w:ascii="Arial" w:eastAsia="Arial"/>
        </w:rPr>
        <w:t>2</w:t>
      </w:r>
      <w:r>
        <w:rPr/>
        <w:t>、副总指挥职责</w:t>
      </w:r>
    </w:p>
    <w:p>
      <w:pPr>
        <w:pStyle w:val="BodyText"/>
        <w:spacing w:before="436"/>
        <w:ind w:left="1100"/>
      </w:pPr>
      <w:r>
        <w:rPr>
          <w:rFonts w:ascii="Arial" w:eastAsia="Arial"/>
        </w:rPr>
        <w:t>1)</w:t>
      </w:r>
      <w:r>
        <w:rPr/>
        <w:t>在总指挥不在时，代理总指挥职责；</w:t>
      </w:r>
    </w:p>
    <w:p>
      <w:pPr>
        <w:pStyle w:val="BodyText"/>
        <w:spacing w:before="436"/>
        <w:ind w:left="1100"/>
      </w:pPr>
      <w:r>
        <w:rPr>
          <w:rFonts w:ascii="Arial" w:eastAsia="Arial"/>
        </w:rPr>
        <w:t>2)</w:t>
      </w:r>
      <w:r>
        <w:rPr/>
        <w:t>负责现场应急救援的具体抢险指挥工作；</w:t>
      </w:r>
    </w:p>
    <w:p>
      <w:pPr>
        <w:pStyle w:val="BodyText"/>
        <w:spacing w:before="437"/>
        <w:ind w:left="1100"/>
      </w:pPr>
      <w:r>
        <w:rPr>
          <w:rFonts w:ascii="Arial" w:eastAsia="Arial"/>
        </w:rPr>
        <w:t>3)</w:t>
      </w:r>
      <w:r>
        <w:rPr/>
        <w:t>负责根据事故发生的实际情况，分析事故原因，及进制定</w:t>
      </w:r>
    </w:p>
    <w:p>
      <w:pPr>
        <w:spacing w:after="0"/>
        <w:sectPr>
          <w:pgSz w:w="19120" w:h="27060"/>
          <w:pgMar w:header="0" w:footer="2100" w:top="2580" w:bottom="2300" w:left="2700" w:right="2680"/>
        </w:sectPr>
      </w:pPr>
    </w:p>
    <w:p>
      <w:pPr>
        <w:pStyle w:val="BodyText"/>
        <w:tabs>
          <w:tab w:pos="10659" w:val="left" w:leader="none"/>
        </w:tabs>
        <w:spacing w:line="424" w:lineRule="auto" w:before="20"/>
        <w:ind w:right="439"/>
      </w:pPr>
      <w:r>
        <w:rPr/>
        <w:t>处理方案，</w:t>
      </w:r>
      <w:r>
        <w:rPr>
          <w:spacing w:val="-60"/>
        </w:rPr>
        <w:t> </w:t>
      </w:r>
      <w:r>
        <w:rPr/>
        <w:t>采用加固抢修或排除事故隐患等措施，</w:t>
        <w:tab/>
        <w:t>有效地遏制事故的蔓延。同时，负责现场周围人员的器材物资的抢救，将事故  的损失降到最小，避免事故范围的扩大和再发生。</w:t>
      </w:r>
    </w:p>
    <w:p>
      <w:pPr>
        <w:pStyle w:val="BodyText"/>
        <w:spacing w:before="46"/>
        <w:ind w:left="1100"/>
      </w:pPr>
      <w:r>
        <w:rPr>
          <w:rFonts w:ascii="Arial" w:eastAsia="Arial"/>
        </w:rPr>
        <w:t>4)</w:t>
      </w:r>
      <w:r>
        <w:rPr/>
        <w:t>负责组织对事故进行抢险，尽快恢复正常生产；</w:t>
      </w:r>
    </w:p>
    <w:p>
      <w:pPr>
        <w:pStyle w:val="BodyText"/>
        <w:spacing w:before="456"/>
        <w:ind w:left="1100"/>
      </w:pPr>
      <w:r>
        <w:rPr>
          <w:rFonts w:ascii="Arial" w:eastAsia="Arial"/>
        </w:rPr>
        <w:t>5)</w:t>
      </w:r>
      <w:r>
        <w:rPr/>
        <w:t>负责组织事故调查鉴定和事故原因分析工作；</w:t>
      </w:r>
    </w:p>
    <w:p>
      <w:pPr>
        <w:pStyle w:val="BodyText"/>
        <w:spacing w:before="437"/>
        <w:ind w:left="1100"/>
      </w:pPr>
      <w:r>
        <w:rPr>
          <w:rFonts w:ascii="Arial" w:eastAsia="Arial"/>
        </w:rPr>
        <w:t>6)</w:t>
      </w:r>
      <w:r>
        <w:rPr/>
        <w:t>负责事故的处理；</w:t>
      </w:r>
    </w:p>
    <w:p>
      <w:pPr>
        <w:pStyle w:val="BodyText"/>
        <w:spacing w:before="436"/>
        <w:ind w:left="1100"/>
      </w:pPr>
      <w:r>
        <w:rPr>
          <w:rFonts w:ascii="Arial" w:eastAsia="Arial"/>
        </w:rPr>
        <w:t>7)</w:t>
      </w:r>
      <w:r>
        <w:rPr/>
        <w:t>组织协调应急救援组织机构定期培训，演练。</w:t>
      </w:r>
    </w:p>
    <w:p>
      <w:pPr>
        <w:pStyle w:val="BodyText"/>
        <w:spacing w:before="436"/>
        <w:ind w:left="880"/>
      </w:pPr>
      <w:r>
        <w:rPr>
          <w:rFonts w:ascii="Arial" w:eastAsia="Arial"/>
        </w:rPr>
        <w:t>3</w:t>
      </w:r>
      <w:r>
        <w:rPr/>
        <w:t>、各应急救援专业组职责</w:t>
      </w:r>
    </w:p>
    <w:p>
      <w:pPr>
        <w:pStyle w:val="BodyText"/>
        <w:spacing w:before="436"/>
        <w:ind w:left="1100"/>
      </w:pPr>
      <w:r>
        <w:rPr>
          <w:rFonts w:ascii="Arial" w:eastAsia="Arial"/>
        </w:rPr>
        <w:t>A</w:t>
      </w:r>
      <w:r>
        <w:rPr>
          <w:rFonts w:ascii="Arial" w:eastAsia="Arial"/>
          <w:spacing w:val="-56"/>
        </w:rPr>
        <w:t> </w:t>
      </w:r>
      <w:r>
        <w:rPr/>
        <w:t>、事故现场救护与通讯组</w:t>
      </w:r>
    </w:p>
    <w:p>
      <w:pPr>
        <w:pStyle w:val="BodyText"/>
        <w:spacing w:before="457"/>
        <w:ind w:left="1100"/>
      </w:pPr>
      <w:r>
        <w:rPr>
          <w:rFonts w:ascii="Arial" w:eastAsia="Arial"/>
        </w:rPr>
        <w:t>1)</w:t>
      </w:r>
      <w:r>
        <w:rPr/>
        <w:t>协调日常应急救援事务；</w:t>
      </w:r>
    </w:p>
    <w:p>
      <w:pPr>
        <w:pStyle w:val="BodyText"/>
        <w:spacing w:line="408" w:lineRule="auto" w:before="436"/>
        <w:ind w:right="1219" w:firstLine="940"/>
      </w:pPr>
      <w:r>
        <w:rPr>
          <w:rFonts w:ascii="Arial" w:eastAsia="Arial"/>
        </w:rPr>
        <w:t>2)</w:t>
      </w:r>
      <w:r>
        <w:rPr/>
        <w:t>熟悉应急救援机构的组成名单，能将领导的指令在第一时间传达到位：</w:t>
      </w:r>
    </w:p>
    <w:p>
      <w:pPr>
        <w:pStyle w:val="BodyText"/>
        <w:spacing w:line="408" w:lineRule="auto" w:before="83"/>
        <w:ind w:right="1562" w:firstLine="940"/>
      </w:pPr>
      <w:r>
        <w:rPr>
          <w:rFonts w:ascii="Arial" w:eastAsia="Arial"/>
        </w:rPr>
        <w:t>3) </w:t>
      </w:r>
      <w:r>
        <w:rPr/>
        <w:t>对事故发生的时间地点部位危害程度等有关情况及时向相关部门报告，确保信息准确无误，并做好记录；</w:t>
      </w:r>
    </w:p>
    <w:p>
      <w:pPr>
        <w:pStyle w:val="BodyText"/>
        <w:spacing w:before="103"/>
        <w:ind w:left="880"/>
      </w:pPr>
      <w:r>
        <w:rPr>
          <w:rFonts w:ascii="Arial" w:eastAsia="Arial"/>
        </w:rPr>
        <w:t>4)</w:t>
      </w:r>
      <w:r>
        <w:rPr/>
        <w:t>保证通讯设施处于良好状态；</w:t>
      </w:r>
    </w:p>
    <w:p>
      <w:pPr>
        <w:pStyle w:val="BodyText"/>
        <w:spacing w:line="408" w:lineRule="auto" w:before="437"/>
        <w:ind w:right="1459" w:firstLine="720"/>
      </w:pPr>
      <w:r>
        <w:rPr>
          <w:rFonts w:ascii="Arial" w:eastAsia="Arial"/>
        </w:rPr>
        <w:t>5)</w:t>
      </w:r>
      <w:r>
        <w:rPr/>
        <w:t>认真坚守岗位，及时传达总指挥副总指挥事故应急救援指令：</w:t>
      </w:r>
    </w:p>
    <w:p>
      <w:pPr>
        <w:pStyle w:val="BodyText"/>
        <w:spacing w:before="83"/>
        <w:ind w:left="880"/>
      </w:pPr>
      <w:r>
        <w:rPr>
          <w:rFonts w:ascii="Arial" w:eastAsia="Arial"/>
        </w:rPr>
        <w:t>B</w:t>
      </w:r>
      <w:r>
        <w:rPr/>
        <w:t>、消防与防洪救援队抢险救灾组</w:t>
      </w:r>
    </w:p>
    <w:p>
      <w:pPr>
        <w:pStyle w:val="BodyText"/>
        <w:spacing w:line="408" w:lineRule="auto" w:before="456"/>
        <w:ind w:right="1259" w:firstLine="720"/>
      </w:pPr>
      <w:r>
        <w:rPr>
          <w:rFonts w:ascii="Arial" w:eastAsia="Arial"/>
          <w:spacing w:val="-43"/>
        </w:rPr>
        <w:t>1</w:t>
      </w:r>
      <w:r>
        <w:rPr>
          <w:spacing w:val="-43"/>
        </w:rPr>
        <w:t>）</w:t>
      </w:r>
      <w:r>
        <w:rPr/>
        <w:t>熟悉掌握重大危险源和重要部位事故现场地形设备工艺操作消防设施安全设施和人员分布情况：</w:t>
      </w:r>
    </w:p>
    <w:p>
      <w:pPr>
        <w:pStyle w:val="BodyText"/>
        <w:spacing w:line="408" w:lineRule="auto" w:before="83"/>
        <w:ind w:right="1379" w:firstLine="940"/>
      </w:pPr>
      <w:r>
        <w:rPr>
          <w:rFonts w:ascii="Arial" w:eastAsia="Arial"/>
        </w:rPr>
        <w:t>2</w:t>
      </w:r>
      <w:r>
        <w:rPr/>
        <w:t>）认真参加重大危险源事故救援实战演练，提高实战抢险能力；</w:t>
      </w:r>
    </w:p>
    <w:p>
      <w:pPr>
        <w:spacing w:after="0" w:line="408" w:lineRule="auto"/>
        <w:sectPr>
          <w:pgSz w:w="19120" w:h="27060"/>
          <w:pgMar w:header="0" w:footer="2100" w:top="2560" w:bottom="2300" w:left="2700" w:right="2680"/>
        </w:sectPr>
      </w:pPr>
    </w:p>
    <w:p>
      <w:pPr>
        <w:pStyle w:val="BodyText"/>
        <w:spacing w:line="417" w:lineRule="auto" w:before="40"/>
        <w:ind w:right="1259" w:firstLine="940"/>
        <w:jc w:val="both"/>
      </w:pPr>
      <w:r>
        <w:rPr>
          <w:rFonts w:ascii="Arial" w:eastAsia="Arial"/>
        </w:rPr>
        <w:t>3</w:t>
      </w:r>
      <w:r>
        <w:rPr/>
        <w:t>）在事故状态下，利用现有的消防和安全防护设施，能有组织地深入事故发生区域，关闭相关系统，抢修设备。降低事故损失，防止事故蔓延，抑制危害范围扩大；</w:t>
      </w:r>
    </w:p>
    <w:p>
      <w:pPr>
        <w:pStyle w:val="BodyText"/>
        <w:spacing w:before="57"/>
        <w:ind w:left="1100"/>
      </w:pPr>
      <w:r>
        <w:rPr>
          <w:rFonts w:ascii="Arial" w:eastAsia="Arial"/>
        </w:rPr>
        <w:t>4</w:t>
      </w:r>
      <w:r>
        <w:rPr/>
        <w:t>）听从现场指挥安排，做好现场抢险工作。</w:t>
      </w:r>
    </w:p>
    <w:p>
      <w:pPr>
        <w:pStyle w:val="BodyText"/>
        <w:spacing w:before="456"/>
        <w:ind w:left="1100"/>
      </w:pPr>
      <w:r>
        <w:rPr>
          <w:rFonts w:ascii="Arial" w:eastAsia="Arial"/>
        </w:rPr>
        <w:t>C </w:t>
      </w:r>
      <w:r>
        <w:rPr/>
        <w:t>物资供应保障组</w:t>
      </w:r>
    </w:p>
    <w:p>
      <w:pPr>
        <w:pStyle w:val="BodyText"/>
        <w:spacing w:before="436"/>
        <w:ind w:left="1100"/>
      </w:pPr>
      <w:r>
        <w:rPr>
          <w:rFonts w:ascii="Arial" w:eastAsia="Arial"/>
        </w:rPr>
        <w:t>1</w:t>
      </w:r>
      <w:r>
        <w:rPr/>
        <w:t>）服从应急指挥的领导；实施物资的现场供应；</w:t>
      </w:r>
    </w:p>
    <w:p>
      <w:pPr>
        <w:pStyle w:val="BodyText"/>
        <w:spacing w:before="437"/>
        <w:ind w:left="1340"/>
      </w:pPr>
      <w:r>
        <w:rPr>
          <w:rFonts w:ascii="Arial" w:eastAsia="Arial"/>
        </w:rPr>
        <w:t>2</w:t>
      </w:r>
      <w:r>
        <w:rPr/>
        <w:t>）保障事故抢险和负伤人员外运运输车辆的使用；</w:t>
      </w:r>
    </w:p>
    <w:p>
      <w:pPr>
        <w:pStyle w:val="BodyText"/>
        <w:spacing w:before="436"/>
        <w:ind w:left="1340"/>
      </w:pPr>
      <w:r>
        <w:rPr>
          <w:rFonts w:ascii="Arial" w:eastAsia="Arial"/>
        </w:rPr>
        <w:t>3</w:t>
      </w:r>
      <w:r>
        <w:rPr/>
        <w:t>）保障应急救援物资的供应，</w:t>
      </w:r>
    </w:p>
    <w:p>
      <w:pPr>
        <w:pStyle w:val="BodyText"/>
        <w:spacing w:before="436"/>
        <w:ind w:left="1340"/>
      </w:pPr>
      <w:r>
        <w:rPr>
          <w:rFonts w:ascii="Arial" w:eastAsia="Arial"/>
        </w:rPr>
        <w:t>D </w:t>
      </w:r>
      <w:r>
        <w:rPr/>
        <w:t>事故现场警戒保卫组</w:t>
      </w:r>
    </w:p>
    <w:p>
      <w:pPr>
        <w:pStyle w:val="BodyText"/>
        <w:spacing w:before="456"/>
        <w:ind w:left="1340"/>
      </w:pPr>
      <w:r>
        <w:rPr>
          <w:rFonts w:ascii="Arial" w:eastAsia="Arial"/>
        </w:rPr>
        <w:t>1</w:t>
      </w:r>
      <w:r>
        <w:rPr/>
        <w:t>）保证救援人员车辆出入事故现场的道路畅通；</w:t>
      </w:r>
    </w:p>
    <w:p>
      <w:pPr>
        <w:pStyle w:val="BodyText"/>
        <w:spacing w:line="408" w:lineRule="auto" w:before="437"/>
        <w:ind w:right="1147" w:firstLine="1180"/>
      </w:pPr>
      <w:r>
        <w:rPr>
          <w:rFonts w:ascii="Arial" w:eastAsia="Arial"/>
        </w:rPr>
        <w:t>2</w:t>
      </w:r>
      <w:r>
        <w:rPr/>
        <w:t>）根据事发当地气象条件地理环境人员密集情况确定疏散方式，进行有组织的疏散：</w:t>
      </w:r>
    </w:p>
    <w:p>
      <w:pPr>
        <w:pStyle w:val="BodyText"/>
        <w:spacing w:line="422" w:lineRule="auto" w:before="83"/>
        <w:ind w:right="1139" w:firstLine="1180"/>
        <w:jc w:val="both"/>
      </w:pPr>
      <w:r>
        <w:rPr>
          <w:rFonts w:ascii="Arial" w:eastAsia="Arial"/>
        </w:rPr>
        <w:t>3</w:t>
      </w:r>
      <w:r>
        <w:rPr/>
        <w:t>）针对突发环境事故的地点范围，确定安全警戒范围，设置警戒标志；曲维护事故现场治安，保卫重点部位，并根据事故性质，严重程度有秩序地疏散事故区域人员控制车辆的时入；</w:t>
      </w:r>
    </w:p>
    <w:p>
      <w:pPr>
        <w:pStyle w:val="BodyText"/>
        <w:spacing w:before="43"/>
        <w:ind w:left="1340"/>
      </w:pPr>
      <w:r>
        <w:rPr>
          <w:rFonts w:ascii="Arial" w:eastAsia="Arial"/>
        </w:rPr>
        <w:t>4</w:t>
      </w:r>
      <w:r>
        <w:rPr/>
        <w:t>）保证消防通道和进入事故区域的厂内主要通道的畅通无</w:t>
      </w:r>
    </w:p>
    <w:p>
      <w:pPr>
        <w:pStyle w:val="BodyText"/>
        <w:spacing w:before="12"/>
        <w:ind w:left="0"/>
        <w:rPr>
          <w:sz w:val="27"/>
        </w:rPr>
      </w:pPr>
    </w:p>
    <w:p>
      <w:pPr>
        <w:pStyle w:val="BodyText"/>
        <w:spacing w:before="39"/>
      </w:pPr>
      <w:r>
        <w:rPr/>
        <w:t>阻；</w:t>
      </w:r>
    </w:p>
    <w:p>
      <w:pPr>
        <w:pStyle w:val="BodyText"/>
        <w:spacing w:before="2"/>
        <w:ind w:left="0"/>
        <w:rPr>
          <w:sz w:val="37"/>
        </w:rPr>
      </w:pPr>
    </w:p>
    <w:p>
      <w:pPr>
        <w:pStyle w:val="BodyText"/>
        <w:ind w:left="1340"/>
      </w:pPr>
      <w:r>
        <w:rPr>
          <w:rFonts w:ascii="Arial" w:eastAsia="Arial"/>
        </w:rPr>
        <w:t>5</w:t>
      </w:r>
      <w:r>
        <w:rPr/>
        <w:t>）对具有爆炸火灾泄漏等其它危险点进行监控和保护；</w:t>
      </w:r>
    </w:p>
    <w:p>
      <w:pPr>
        <w:pStyle w:val="BodyText"/>
        <w:tabs>
          <w:tab w:pos="10419" w:val="left" w:leader="none"/>
        </w:tabs>
        <w:spacing w:before="456"/>
        <w:ind w:left="1340"/>
      </w:pPr>
      <w:r>
        <w:rPr>
          <w:rFonts w:ascii="Arial" w:eastAsia="Arial"/>
          <w:spacing w:val="-63"/>
        </w:rPr>
        <w:t>6</w:t>
      </w:r>
      <w:r>
        <w:rPr>
          <w:spacing w:val="-63"/>
        </w:rPr>
        <w:t>）</w:t>
      </w:r>
      <w:r>
        <w:rPr/>
        <w:t>采取有效的应急救援措施进行抢险救灾，</w:t>
        <w:tab/>
        <w:t>防止事故扩大，</w:t>
      </w:r>
    </w:p>
    <w:p>
      <w:pPr>
        <w:pStyle w:val="BodyText"/>
        <w:spacing w:before="12"/>
        <w:ind w:left="0"/>
        <w:rPr>
          <w:sz w:val="27"/>
        </w:rPr>
      </w:pPr>
    </w:p>
    <w:p>
      <w:pPr>
        <w:pStyle w:val="BodyText"/>
        <w:spacing w:before="38"/>
      </w:pPr>
      <w:r>
        <w:rPr/>
        <w:t>防止事故扩大，杜绝二次事故的发生。</w:t>
      </w:r>
    </w:p>
    <w:p>
      <w:pPr>
        <w:pStyle w:val="BodyText"/>
        <w:spacing w:before="2"/>
        <w:ind w:left="0"/>
        <w:rPr>
          <w:sz w:val="37"/>
        </w:rPr>
      </w:pPr>
    </w:p>
    <w:p>
      <w:pPr>
        <w:pStyle w:val="BodyText"/>
        <w:spacing w:line="408" w:lineRule="auto" w:before="1"/>
        <w:ind w:right="1147" w:firstLine="1180"/>
      </w:pPr>
      <w:r>
        <w:rPr>
          <w:rFonts w:ascii="Arial" w:eastAsia="Arial"/>
        </w:rPr>
        <w:t>7</w:t>
      </w:r>
      <w:r>
        <w:rPr/>
        <w:t>）负责随时掌握突发事件的控制情况以及污染物的影响范围程度；为事件信息发布提供环境污染第一手资料。</w:t>
      </w:r>
    </w:p>
    <w:p>
      <w:pPr>
        <w:spacing w:after="0" w:line="408" w:lineRule="auto"/>
        <w:sectPr>
          <w:pgSz w:w="19120" w:h="27060"/>
          <w:pgMar w:header="0" w:footer="2100" w:top="2580" w:bottom="2300" w:left="2700" w:right="2680"/>
        </w:sectPr>
      </w:pPr>
    </w:p>
    <w:p>
      <w:pPr>
        <w:pStyle w:val="BodyText"/>
        <w:spacing w:before="40"/>
        <w:ind w:left="1340"/>
      </w:pPr>
      <w:r>
        <w:rPr>
          <w:rFonts w:ascii="Arial" w:eastAsia="Arial"/>
        </w:rPr>
        <w:t>E </w:t>
      </w:r>
      <w:r>
        <w:rPr/>
        <w:t>医疗救护组</w:t>
      </w:r>
    </w:p>
    <w:p>
      <w:pPr>
        <w:pStyle w:val="BodyText"/>
        <w:spacing w:line="408" w:lineRule="auto" w:before="436"/>
        <w:ind w:right="1399" w:firstLine="1180"/>
      </w:pPr>
      <w:r>
        <w:rPr/>
        <w:t>服从应急指挥部的领导，做好现场受伤人员的临时包扎和抢救；做好现场急救工作；</w:t>
      </w:r>
    </w:p>
    <w:p>
      <w:pPr>
        <w:pStyle w:val="BodyText"/>
        <w:spacing w:before="83"/>
        <w:ind w:left="1340"/>
      </w:pPr>
      <w:r>
        <w:rPr>
          <w:rFonts w:ascii="Arial" w:eastAsia="Arial"/>
        </w:rPr>
        <w:t>1</w:t>
      </w:r>
      <w:r>
        <w:rPr/>
        <w:t>）联系急救和安排护送转院；对现场进行消毒。</w:t>
      </w:r>
    </w:p>
    <w:p>
      <w:pPr>
        <w:pStyle w:val="BodyText"/>
        <w:tabs>
          <w:tab w:pos="4459" w:val="left" w:leader="none"/>
          <w:tab w:pos="7759" w:val="left" w:leader="none"/>
        </w:tabs>
        <w:spacing w:line="420" w:lineRule="auto" w:before="456"/>
        <w:ind w:right="699" w:firstLine="1180"/>
      </w:pPr>
      <w:r>
        <w:rPr>
          <w:rFonts w:ascii="Arial" w:eastAsia="Arial"/>
          <w:spacing w:val="-3"/>
        </w:rPr>
        <w:t>2</w:t>
      </w:r>
      <w:r>
        <w:rPr>
          <w:spacing w:val="-3"/>
        </w:rPr>
        <w:t>）</w:t>
      </w:r>
      <w:r>
        <w:rPr/>
        <w:t>负责协调现场的医疗救护，</w:t>
        <w:tab/>
        <w:t>组织救护车辆及医务人员器材进入指定地点，组织现场抢救伤员。对事故的轻伤人员，现场 及时进行包扎救治，</w:t>
        <w:tab/>
        <w:t>伤情严重的，</w:t>
      </w:r>
      <w:r>
        <w:rPr>
          <w:spacing w:val="-60"/>
        </w:rPr>
        <w:t> </w:t>
      </w:r>
      <w:r>
        <w:rPr/>
        <w:t>专人负责送至附近医院紧急抢救。</w:t>
      </w:r>
    </w:p>
    <w:p>
      <w:pPr>
        <w:pStyle w:val="BodyText"/>
        <w:spacing w:before="54"/>
        <w:ind w:left="880"/>
      </w:pPr>
      <w:r>
        <w:rPr>
          <w:rFonts w:ascii="Arial" w:eastAsia="Arial"/>
        </w:rPr>
        <w:t>F </w:t>
      </w:r>
      <w:r>
        <w:rPr/>
        <w:t>事故现场抢险组</w:t>
      </w:r>
    </w:p>
    <w:p>
      <w:pPr>
        <w:pStyle w:val="BodyText"/>
        <w:spacing w:before="456"/>
        <w:ind w:left="880"/>
      </w:pPr>
      <w:r>
        <w:rPr>
          <w:rFonts w:ascii="Arial" w:eastAsia="Arial"/>
        </w:rPr>
        <w:t>1</w:t>
      </w:r>
      <w:r>
        <w:rPr/>
        <w:t>）负责组织本单位区域内事故的应急与响应工作；</w:t>
      </w:r>
    </w:p>
    <w:p>
      <w:pPr>
        <w:pStyle w:val="BodyText"/>
        <w:spacing w:before="437"/>
        <w:ind w:left="880"/>
      </w:pPr>
      <w:r>
        <w:rPr>
          <w:rFonts w:ascii="Arial" w:eastAsia="Arial"/>
        </w:rPr>
        <w:t>2</w:t>
      </w:r>
      <w:r>
        <w:rPr/>
        <w:t>）负责及时安排事故调查小组赴事故发生地处理问题。</w:t>
      </w:r>
    </w:p>
    <w:p>
      <w:pPr>
        <w:pStyle w:val="BodyText"/>
        <w:tabs>
          <w:tab w:pos="10159" w:val="left" w:leader="none"/>
        </w:tabs>
        <w:spacing w:line="408" w:lineRule="auto" w:before="436"/>
        <w:ind w:right="499" w:firstLine="720"/>
      </w:pPr>
      <w:r>
        <w:rPr>
          <w:rFonts w:ascii="Arial" w:eastAsia="Arial"/>
          <w:spacing w:val="-13"/>
        </w:rPr>
        <w:t>3</w:t>
      </w:r>
      <w:r>
        <w:rPr>
          <w:spacing w:val="-13"/>
        </w:rPr>
        <w:t>）</w:t>
      </w:r>
      <w:r>
        <w:rPr/>
        <w:t>各应急小组在应急指挥领导部的指挥下，</w:t>
        <w:tab/>
        <w:t>协调警戒抢险救人抢救财产设备和疏散员工任务。</w:t>
      </w:r>
    </w:p>
    <w:p>
      <w:pPr>
        <w:pStyle w:val="BodyText"/>
        <w:spacing w:line="434" w:lineRule="auto" w:before="83"/>
        <w:ind w:left="880" w:right="3997" w:firstLine="220"/>
      </w:pPr>
      <w:r>
        <w:rPr>
          <w:rFonts w:ascii="Arial" w:eastAsia="Arial"/>
        </w:rPr>
        <w:t>4</w:t>
      </w:r>
      <w:r>
        <w:rPr/>
        <w:t>）负责向应急行动指挥小组和相关部门报告</w:t>
      </w:r>
      <w:r>
        <w:rPr>
          <w:rFonts w:ascii="Arial" w:eastAsia="Arial"/>
        </w:rPr>
        <w:t>G </w:t>
      </w:r>
      <w:r>
        <w:rPr/>
        <w:t>事故调查组</w:t>
      </w:r>
    </w:p>
    <w:p>
      <w:pPr>
        <w:pStyle w:val="BodyText"/>
        <w:spacing w:line="503" w:lineRule="exact"/>
        <w:ind w:left="880"/>
      </w:pPr>
      <w:r>
        <w:rPr/>
        <w:t>负责协调事故调查处理的相关事宜。</w:t>
      </w:r>
    </w:p>
    <w:p>
      <w:pPr>
        <w:pStyle w:val="BodyText"/>
        <w:spacing w:before="2"/>
        <w:ind w:left="0"/>
        <w:rPr>
          <w:sz w:val="37"/>
        </w:rPr>
      </w:pPr>
    </w:p>
    <w:p>
      <w:pPr>
        <w:pStyle w:val="BodyText"/>
        <w:ind w:left="1100"/>
      </w:pPr>
      <w:r>
        <w:rPr>
          <w:rFonts w:ascii="Arial" w:eastAsia="Arial"/>
        </w:rPr>
        <w:t>1</w:t>
      </w:r>
      <w:r>
        <w:rPr/>
        <w:t>）根据事故的性质等级确认，事故现场保护范围及报告相</w:t>
      </w:r>
    </w:p>
    <w:p>
      <w:pPr>
        <w:pStyle w:val="BodyText"/>
        <w:tabs>
          <w:tab w:pos="12579" w:val="left" w:leader="none"/>
        </w:tabs>
        <w:spacing w:line="434" w:lineRule="auto" w:before="397"/>
        <w:ind w:right="279"/>
      </w:pPr>
      <w:r>
        <w:rPr/>
        <w:t>关上级管理部门，</w:t>
      </w:r>
      <w:r>
        <w:rPr>
          <w:spacing w:val="60"/>
        </w:rPr>
        <w:t> </w:t>
      </w:r>
      <w:r>
        <w:rPr/>
        <w:t>事故调查要遵循实事求是尊重科学的原则</w:t>
        <w:tab/>
        <w:t>“四不放过”原则公正公开的原则分级管辖原则。</w:t>
      </w:r>
    </w:p>
    <w:p>
      <w:pPr>
        <w:pStyle w:val="BodyText"/>
        <w:tabs>
          <w:tab w:pos="9699" w:val="left" w:leader="none"/>
        </w:tabs>
        <w:spacing w:line="417" w:lineRule="auto" w:before="19"/>
        <w:ind w:right="519" w:firstLine="1180"/>
      </w:pPr>
      <w:r>
        <w:rPr>
          <w:rFonts w:ascii="Arial" w:eastAsia="Arial"/>
          <w:spacing w:val="6"/>
        </w:rPr>
        <w:t>2</w:t>
      </w:r>
      <w:r>
        <w:rPr>
          <w:spacing w:val="6"/>
        </w:rPr>
        <w:t>）</w:t>
      </w:r>
      <w:r>
        <w:rPr/>
        <w:t>查清事故发生的经过，科学分析事故原因，找出发生事 故的内外关系，</w:t>
      </w:r>
      <w:r>
        <w:rPr>
          <w:spacing w:val="40"/>
        </w:rPr>
        <w:t> </w:t>
      </w:r>
      <w:r>
        <w:rPr/>
        <w:t>总结事故发生的教训和规律，</w:t>
        <w:tab/>
        <w:t>提出有针对性的措施，防止类似事故的再度发生。</w:t>
      </w:r>
    </w:p>
    <w:p>
      <w:pPr>
        <w:spacing w:after="0" w:line="417" w:lineRule="auto"/>
        <w:sectPr>
          <w:pgSz w:w="19120" w:h="27060"/>
          <w:pgMar w:header="0" w:footer="2100" w:top="2580" w:bottom="2300" w:left="2700" w:right="2680"/>
        </w:sectPr>
      </w:pPr>
    </w:p>
    <w:p>
      <w:pPr>
        <w:pStyle w:val="BodyText"/>
        <w:ind w:left="0"/>
        <w:rPr>
          <w:sz w:val="20"/>
        </w:rPr>
      </w:pPr>
      <w:r>
        <w:rPr/>
        <w:drawing>
          <wp:anchor distT="0" distB="0" distL="0" distR="0" allowOverlap="1" layoutInCell="1" locked="0" behindDoc="1" simplePos="0" relativeHeight="268416983">
            <wp:simplePos x="0" y="0"/>
            <wp:positionH relativeFrom="page">
              <wp:posOffset>1811333</wp:posOffset>
            </wp:positionH>
            <wp:positionV relativeFrom="page">
              <wp:posOffset>1527100</wp:posOffset>
            </wp:positionV>
            <wp:extent cx="8511999" cy="14021999"/>
            <wp:effectExtent l="0" t="0" r="0" b="0"/>
            <wp:wrapNone/>
            <wp:docPr id="3" name="image4.png" descr=""/>
            <wp:cNvGraphicFramePr>
              <a:graphicFrameLocks noChangeAspect="1"/>
            </wp:cNvGraphicFramePr>
            <a:graphic>
              <a:graphicData uri="http://schemas.openxmlformats.org/drawingml/2006/picture">
                <pic:pic>
                  <pic:nvPicPr>
                    <pic:cNvPr id="4" name="image4.png"/>
                    <pic:cNvPicPr/>
                  </pic:nvPicPr>
                  <pic:blipFill>
                    <a:blip r:embed="rId9" cstate="print"/>
                    <a:stretch>
                      <a:fillRect/>
                    </a:stretch>
                  </pic:blipFill>
                  <pic:spPr>
                    <a:xfrm>
                      <a:off x="0" y="0"/>
                      <a:ext cx="8511999" cy="14021999"/>
                    </a:xfrm>
                    <a:prstGeom prst="rect">
                      <a:avLst/>
                    </a:prstGeom>
                  </pic:spPr>
                </pic:pic>
              </a:graphicData>
            </a:graphic>
          </wp:anchor>
        </w:drawing>
      </w:r>
    </w:p>
    <w:p>
      <w:pPr>
        <w:pStyle w:val="BodyText"/>
        <w:ind w:left="0"/>
        <w:rPr>
          <w:sz w:val="20"/>
        </w:rPr>
      </w:pPr>
    </w:p>
    <w:p>
      <w:pPr>
        <w:pStyle w:val="BodyText"/>
        <w:ind w:left="0"/>
        <w:rPr>
          <w:sz w:val="20"/>
        </w:rPr>
      </w:pPr>
    </w:p>
    <w:p>
      <w:pPr>
        <w:pStyle w:val="BodyText"/>
        <w:spacing w:before="8"/>
        <w:ind w:left="0"/>
        <w:rPr>
          <w:sz w:val="26"/>
        </w:rPr>
      </w:pPr>
    </w:p>
    <w:p>
      <w:pPr>
        <w:pStyle w:val="Heading1"/>
        <w:ind w:left="3860"/>
      </w:pPr>
      <w:r>
        <w:rPr/>
        <w:t>管 理 制 度 职 责</w:t>
      </w:r>
    </w:p>
    <w:p>
      <w:pPr>
        <w:pStyle w:val="BodyText"/>
        <w:spacing w:before="4"/>
        <w:ind w:left="0"/>
        <w:rPr>
          <w:sz w:val="98"/>
        </w:rPr>
      </w:pPr>
    </w:p>
    <w:p>
      <w:pPr>
        <w:pStyle w:val="BodyText"/>
        <w:ind w:left="1320"/>
      </w:pPr>
      <w:r>
        <w:rPr/>
        <w:t>一、加油站站长安全职责</w:t>
      </w:r>
    </w:p>
    <w:p>
      <w:pPr>
        <w:pStyle w:val="ListParagraph"/>
        <w:numPr>
          <w:ilvl w:val="0"/>
          <w:numId w:val="1"/>
        </w:numPr>
        <w:tabs>
          <w:tab w:pos="1820" w:val="left" w:leader="none"/>
        </w:tabs>
        <w:spacing w:line="240" w:lineRule="auto" w:before="376" w:after="0"/>
        <w:ind w:left="160" w:right="0" w:firstLine="1160"/>
        <w:jc w:val="left"/>
        <w:rPr>
          <w:sz w:val="44"/>
        </w:rPr>
      </w:pPr>
      <w:r>
        <w:rPr>
          <w:sz w:val="44"/>
        </w:rPr>
        <w:t>站长对本站安全生产全面负责。</w:t>
      </w:r>
    </w:p>
    <w:p>
      <w:pPr>
        <w:pStyle w:val="ListParagraph"/>
        <w:numPr>
          <w:ilvl w:val="0"/>
          <w:numId w:val="1"/>
        </w:numPr>
        <w:tabs>
          <w:tab w:pos="1820" w:val="left" w:leader="none"/>
        </w:tabs>
        <w:spacing w:line="410" w:lineRule="auto" w:before="397" w:after="0"/>
        <w:ind w:left="160" w:right="1259" w:firstLine="1160"/>
        <w:jc w:val="both"/>
        <w:rPr>
          <w:sz w:val="44"/>
        </w:rPr>
      </w:pPr>
      <w:r>
        <w:rPr>
          <w:sz w:val="44"/>
        </w:rPr>
        <w:t>站长对本站安全生产法令、法规和规章制度，把职工安全卫生列入工作重要议事日程，做到“五同时”，即：在计划、布置、检查、总结、评比生产任务的时候，要同时计划、布置、检查、总结、评比安全生产工作。</w:t>
      </w:r>
    </w:p>
    <w:p>
      <w:pPr>
        <w:pStyle w:val="ListParagraph"/>
        <w:numPr>
          <w:ilvl w:val="0"/>
          <w:numId w:val="1"/>
        </w:numPr>
        <w:tabs>
          <w:tab w:pos="1820" w:val="left" w:leader="none"/>
        </w:tabs>
        <w:spacing w:line="240" w:lineRule="auto" w:before="4" w:after="0"/>
        <w:ind w:left="160" w:right="0" w:firstLine="1160"/>
        <w:jc w:val="left"/>
        <w:rPr>
          <w:sz w:val="44"/>
        </w:rPr>
      </w:pPr>
      <w:r>
        <w:rPr>
          <w:sz w:val="44"/>
        </w:rPr>
        <w:t>树立“预防为主、安全第一”的思想，落实加油站的各</w:t>
      </w:r>
    </w:p>
    <w:p>
      <w:pPr>
        <w:pStyle w:val="BodyText"/>
        <w:spacing w:line="412" w:lineRule="auto" w:before="396"/>
        <w:ind w:right="359"/>
        <w:jc w:val="both"/>
      </w:pPr>
      <w:r>
        <w:rPr/>
        <w:t>项安全管理制度。 定期对全站职工进行安全防火教育。 按规定对加油站进行安全检查。 发现不安全隐患及时处理， 处理不了及时上报，确保加油站的安全。</w:t>
      </w:r>
    </w:p>
    <w:p>
      <w:pPr>
        <w:pStyle w:val="ListParagraph"/>
        <w:numPr>
          <w:ilvl w:val="0"/>
          <w:numId w:val="1"/>
        </w:numPr>
        <w:tabs>
          <w:tab w:pos="1820" w:val="left" w:leader="none"/>
        </w:tabs>
        <w:spacing w:line="412" w:lineRule="auto" w:before="0" w:after="0"/>
        <w:ind w:left="160" w:right="1359" w:firstLine="1160"/>
        <w:jc w:val="left"/>
        <w:rPr>
          <w:sz w:val="44"/>
        </w:rPr>
      </w:pPr>
      <w:r>
        <w:rPr>
          <w:sz w:val="44"/>
        </w:rPr>
        <w:t>组织全站职工进行政治、业务学习，加强思想工作，坚持安全活动日及岗位练兵制度。从而提高职工的素质和业务水平。</w:t>
      </w:r>
    </w:p>
    <w:p>
      <w:pPr>
        <w:pStyle w:val="ListParagraph"/>
        <w:numPr>
          <w:ilvl w:val="0"/>
          <w:numId w:val="1"/>
        </w:numPr>
        <w:tabs>
          <w:tab w:pos="1820" w:val="left" w:leader="none"/>
        </w:tabs>
        <w:spacing w:line="546" w:lineRule="exact" w:before="0" w:after="0"/>
        <w:ind w:left="160" w:right="0" w:firstLine="1160"/>
        <w:jc w:val="left"/>
        <w:rPr>
          <w:sz w:val="44"/>
        </w:rPr>
      </w:pPr>
      <w:r>
        <w:rPr>
          <w:sz w:val="44"/>
        </w:rPr>
        <w:t>每周组织一次全站安全检查，落实隐患整改，确保加油</w:t>
      </w:r>
    </w:p>
    <w:p>
      <w:pPr>
        <w:pStyle w:val="BodyText"/>
        <w:spacing w:before="396"/>
      </w:pPr>
      <w:r>
        <w:rPr/>
        <w:t>站的安全无事故。</w:t>
      </w:r>
    </w:p>
    <w:p>
      <w:pPr>
        <w:pStyle w:val="ListParagraph"/>
        <w:numPr>
          <w:ilvl w:val="0"/>
          <w:numId w:val="1"/>
        </w:numPr>
        <w:tabs>
          <w:tab w:pos="1820" w:val="left" w:leader="none"/>
        </w:tabs>
        <w:spacing w:line="417" w:lineRule="auto" w:before="396" w:after="0"/>
        <w:ind w:left="160" w:right="1359" w:firstLine="1160"/>
        <w:jc w:val="left"/>
        <w:rPr>
          <w:sz w:val="44"/>
        </w:rPr>
      </w:pPr>
      <w:r>
        <w:rPr>
          <w:sz w:val="44"/>
        </w:rPr>
        <w:t>掌握加油站的主要设备，熟悉其性能，了解工艺流程，在紧急状况发生时做到正确指挥。</w:t>
      </w:r>
    </w:p>
    <w:p>
      <w:pPr>
        <w:pStyle w:val="ListParagraph"/>
        <w:numPr>
          <w:ilvl w:val="0"/>
          <w:numId w:val="1"/>
        </w:numPr>
        <w:tabs>
          <w:tab w:pos="1820" w:val="left" w:leader="none"/>
        </w:tabs>
        <w:spacing w:line="542" w:lineRule="exact" w:before="0" w:after="0"/>
        <w:ind w:left="160" w:right="0" w:firstLine="1160"/>
        <w:jc w:val="left"/>
        <w:rPr>
          <w:sz w:val="44"/>
        </w:rPr>
      </w:pPr>
      <w:r>
        <w:rPr>
          <w:sz w:val="44"/>
        </w:rPr>
        <w:t>对加油站发生的事故及时报告和处理，坚持“四不放过”</w:t>
      </w:r>
    </w:p>
    <w:p>
      <w:pPr>
        <w:pStyle w:val="BodyText"/>
        <w:spacing w:before="396"/>
      </w:pPr>
      <w:r>
        <w:rPr/>
        <w:t>原则。</w:t>
      </w:r>
    </w:p>
    <w:p>
      <w:pPr>
        <w:pStyle w:val="BodyText"/>
        <w:spacing w:before="8"/>
        <w:ind w:left="0"/>
        <w:rPr>
          <w:sz w:val="35"/>
        </w:rPr>
      </w:pPr>
    </w:p>
    <w:p>
      <w:pPr>
        <w:pStyle w:val="BodyText"/>
        <w:ind w:left="1320"/>
      </w:pPr>
      <w:r>
        <w:rPr/>
        <w:t>二、安全员岗位职责</w:t>
      </w:r>
    </w:p>
    <w:p>
      <w:pPr>
        <w:spacing w:after="0"/>
        <w:sectPr>
          <w:pgSz w:w="19120" w:h="27060"/>
          <w:pgMar w:header="0" w:footer="2100" w:top="2400" w:bottom="2300" w:left="2700" w:right="2680"/>
        </w:sectPr>
      </w:pPr>
    </w:p>
    <w:p>
      <w:pPr>
        <w:pStyle w:val="BodyText"/>
        <w:spacing w:before="3"/>
        <w:ind w:left="0"/>
        <w:rPr>
          <w:sz w:val="17"/>
        </w:rPr>
      </w:pPr>
      <w:r>
        <w:rPr/>
        <w:drawing>
          <wp:anchor distT="0" distB="0" distL="0" distR="0" allowOverlap="1" layoutInCell="1" locked="0" behindDoc="1" simplePos="0" relativeHeight="268417007">
            <wp:simplePos x="0" y="0"/>
            <wp:positionH relativeFrom="page">
              <wp:posOffset>1811333</wp:posOffset>
            </wp:positionH>
            <wp:positionV relativeFrom="page">
              <wp:posOffset>1527100</wp:posOffset>
            </wp:positionV>
            <wp:extent cx="8511999" cy="13413999"/>
            <wp:effectExtent l="0" t="0" r="0" b="0"/>
            <wp:wrapNone/>
            <wp:docPr id="5" name="image5.png" descr=""/>
            <wp:cNvGraphicFramePr>
              <a:graphicFrameLocks noChangeAspect="1"/>
            </wp:cNvGraphicFramePr>
            <a:graphic>
              <a:graphicData uri="http://schemas.openxmlformats.org/drawingml/2006/picture">
                <pic:pic>
                  <pic:nvPicPr>
                    <pic:cNvPr id="6" name="image5.png"/>
                    <pic:cNvPicPr/>
                  </pic:nvPicPr>
                  <pic:blipFill>
                    <a:blip r:embed="rId10" cstate="print"/>
                    <a:stretch>
                      <a:fillRect/>
                    </a:stretch>
                  </pic:blipFill>
                  <pic:spPr>
                    <a:xfrm>
                      <a:off x="0" y="0"/>
                      <a:ext cx="8511999" cy="13413999"/>
                    </a:xfrm>
                    <a:prstGeom prst="rect">
                      <a:avLst/>
                    </a:prstGeom>
                  </pic:spPr>
                </pic:pic>
              </a:graphicData>
            </a:graphic>
          </wp:anchor>
        </w:drawing>
      </w:r>
    </w:p>
    <w:p>
      <w:pPr>
        <w:pStyle w:val="ListParagraph"/>
        <w:numPr>
          <w:ilvl w:val="0"/>
          <w:numId w:val="2"/>
        </w:numPr>
        <w:tabs>
          <w:tab w:pos="1820" w:val="left" w:leader="none"/>
        </w:tabs>
        <w:spacing w:line="408" w:lineRule="auto" w:before="59" w:after="0"/>
        <w:ind w:left="160" w:right="1259" w:firstLine="1160"/>
        <w:jc w:val="left"/>
        <w:rPr>
          <w:sz w:val="44"/>
        </w:rPr>
      </w:pPr>
      <w:r>
        <w:rPr>
          <w:sz w:val="44"/>
        </w:rPr>
        <w:t>在站长的领导下，认真落实各项安全制度，协助站长对本班员工及顾客进行安全教、检查、监督各项安全措施的落实。</w:t>
      </w:r>
    </w:p>
    <w:p>
      <w:pPr>
        <w:pStyle w:val="ListParagraph"/>
        <w:numPr>
          <w:ilvl w:val="0"/>
          <w:numId w:val="2"/>
        </w:numPr>
        <w:tabs>
          <w:tab w:pos="1820" w:val="left" w:leader="none"/>
        </w:tabs>
        <w:spacing w:line="410" w:lineRule="auto" w:before="3" w:after="0"/>
        <w:ind w:left="160" w:right="1259" w:firstLine="1160"/>
        <w:jc w:val="both"/>
        <w:rPr>
          <w:sz w:val="44"/>
        </w:rPr>
      </w:pPr>
      <w:r>
        <w:rPr>
          <w:sz w:val="44"/>
        </w:rPr>
        <w:t>熟悉本班组防火要求及措施，做到“四懂、四会”的要求，即“懂本岗位生产过程的火灾危险性，懂预防火灾的措施，懂扑救方法，懂疏散方法”；“会报警、会操作消防设施器材、会扑救初级火灾、会组织人逃生”。加强对消防器材的管理，严防丢失和损坏。</w:t>
      </w:r>
    </w:p>
    <w:p>
      <w:pPr>
        <w:pStyle w:val="ListParagraph"/>
        <w:numPr>
          <w:ilvl w:val="0"/>
          <w:numId w:val="2"/>
        </w:numPr>
        <w:tabs>
          <w:tab w:pos="1820" w:val="left" w:leader="none"/>
        </w:tabs>
        <w:spacing w:line="417" w:lineRule="auto" w:before="0" w:after="0"/>
        <w:ind w:left="160" w:right="1359" w:firstLine="1160"/>
        <w:jc w:val="left"/>
        <w:rPr>
          <w:sz w:val="44"/>
        </w:rPr>
      </w:pPr>
      <w:r>
        <w:rPr>
          <w:sz w:val="44"/>
        </w:rPr>
        <w:t>负责对本班人员进行班前，班后教育，对作业中出现的违章现象及时纠正和处理。</w:t>
      </w:r>
    </w:p>
    <w:p>
      <w:pPr>
        <w:pStyle w:val="ListParagraph"/>
        <w:numPr>
          <w:ilvl w:val="0"/>
          <w:numId w:val="2"/>
        </w:numPr>
        <w:tabs>
          <w:tab w:pos="1820" w:val="left" w:leader="none"/>
        </w:tabs>
        <w:spacing w:line="542" w:lineRule="exact" w:before="0" w:after="0"/>
        <w:ind w:left="160" w:right="0" w:firstLine="1160"/>
        <w:jc w:val="left"/>
        <w:rPr>
          <w:sz w:val="44"/>
        </w:rPr>
      </w:pPr>
      <w:r>
        <w:rPr>
          <w:sz w:val="44"/>
        </w:rPr>
        <w:t>定期检查站内设备设施的安全状况，保持良好的工作状</w:t>
      </w:r>
    </w:p>
    <w:p>
      <w:pPr>
        <w:pStyle w:val="BodyText"/>
        <w:spacing w:before="396"/>
      </w:pPr>
      <w:r>
        <w:rPr/>
        <w:t>态，定期维修保养消防器材，保证其有效性。</w:t>
      </w:r>
    </w:p>
    <w:p>
      <w:pPr>
        <w:pStyle w:val="ListParagraph"/>
        <w:numPr>
          <w:ilvl w:val="0"/>
          <w:numId w:val="2"/>
        </w:numPr>
        <w:tabs>
          <w:tab w:pos="1820" w:val="left" w:leader="none"/>
        </w:tabs>
        <w:spacing w:line="408" w:lineRule="auto" w:before="417" w:after="0"/>
        <w:ind w:left="160" w:right="1359" w:firstLine="1160"/>
        <w:jc w:val="left"/>
        <w:rPr>
          <w:sz w:val="44"/>
        </w:rPr>
      </w:pPr>
      <w:r>
        <w:rPr>
          <w:sz w:val="44"/>
        </w:rPr>
        <w:t>做好当班安全检查记录和隐患整改记录，并做好交接班工作。</w:t>
      </w:r>
    </w:p>
    <w:p>
      <w:pPr>
        <w:pStyle w:val="BodyText"/>
        <w:spacing w:before="43"/>
        <w:ind w:left="1320"/>
      </w:pPr>
      <w:r>
        <w:rPr/>
        <w:t>三、职工安全防火及工作纪律管理制度</w:t>
      </w:r>
    </w:p>
    <w:p>
      <w:pPr>
        <w:pStyle w:val="ListParagraph"/>
        <w:numPr>
          <w:ilvl w:val="0"/>
          <w:numId w:val="3"/>
        </w:numPr>
        <w:tabs>
          <w:tab w:pos="1820" w:val="left" w:leader="none"/>
        </w:tabs>
        <w:spacing w:line="240" w:lineRule="auto" w:before="356" w:after="0"/>
        <w:ind w:left="160" w:right="0" w:firstLine="1160"/>
        <w:jc w:val="left"/>
        <w:rPr>
          <w:rFonts w:ascii="Arial" w:eastAsia="Arial"/>
          <w:sz w:val="44"/>
        </w:rPr>
      </w:pPr>
      <w:r>
        <w:rPr>
          <w:sz w:val="44"/>
        </w:rPr>
        <w:t>严禁携带火种入站，严禁吸烟，严禁喝酒上岗。</w:t>
      </w:r>
    </w:p>
    <w:p>
      <w:pPr>
        <w:pStyle w:val="ListParagraph"/>
        <w:numPr>
          <w:ilvl w:val="0"/>
          <w:numId w:val="3"/>
        </w:numPr>
        <w:tabs>
          <w:tab w:pos="1820" w:val="left" w:leader="none"/>
        </w:tabs>
        <w:spacing w:line="408" w:lineRule="auto" w:before="416" w:after="0"/>
        <w:ind w:left="160" w:right="1359" w:firstLine="1160"/>
        <w:jc w:val="left"/>
        <w:rPr>
          <w:rFonts w:ascii="Arial" w:eastAsia="Arial"/>
          <w:sz w:val="44"/>
        </w:rPr>
      </w:pPr>
      <w:r>
        <w:rPr>
          <w:sz w:val="44"/>
        </w:rPr>
        <w:t>所有职工上岗不准穿戴化纤制衣物或易产生静电的工作服，站内工作人员不准穿带有铁钉的鞋。</w:t>
      </w:r>
    </w:p>
    <w:p>
      <w:pPr>
        <w:pStyle w:val="ListParagraph"/>
        <w:numPr>
          <w:ilvl w:val="0"/>
          <w:numId w:val="3"/>
        </w:numPr>
        <w:tabs>
          <w:tab w:pos="1820" w:val="left" w:leader="none"/>
        </w:tabs>
        <w:spacing w:line="408" w:lineRule="auto" w:before="4" w:after="0"/>
        <w:ind w:left="160" w:right="1359" w:firstLine="1160"/>
        <w:jc w:val="left"/>
        <w:rPr>
          <w:rFonts w:ascii="Arial" w:eastAsia="Arial"/>
          <w:sz w:val="44"/>
        </w:rPr>
      </w:pPr>
      <w:r>
        <w:rPr>
          <w:sz w:val="44"/>
        </w:rPr>
        <w:t>加油站内不得乱扔铁器或其他金属物品，禁止用金属物品敲击物件。</w:t>
      </w:r>
    </w:p>
    <w:p>
      <w:pPr>
        <w:pStyle w:val="ListParagraph"/>
        <w:numPr>
          <w:ilvl w:val="0"/>
          <w:numId w:val="3"/>
        </w:numPr>
        <w:tabs>
          <w:tab w:pos="1820" w:val="left" w:leader="none"/>
        </w:tabs>
        <w:spacing w:line="408" w:lineRule="auto" w:before="23" w:after="0"/>
        <w:ind w:left="160" w:right="1359" w:firstLine="1160"/>
        <w:jc w:val="left"/>
        <w:rPr>
          <w:rFonts w:ascii="Arial" w:eastAsia="Arial"/>
          <w:sz w:val="44"/>
        </w:rPr>
      </w:pPr>
      <w:r>
        <w:rPr>
          <w:sz w:val="44"/>
        </w:rPr>
        <w:t>加油机、油库及消防设施周围严禁堆放物件，工作场地及行车道上要时常保持清洁畅通。</w:t>
      </w:r>
    </w:p>
    <w:p>
      <w:pPr>
        <w:pStyle w:val="ListParagraph"/>
        <w:numPr>
          <w:ilvl w:val="0"/>
          <w:numId w:val="3"/>
        </w:numPr>
        <w:tabs>
          <w:tab w:pos="1820" w:val="left" w:leader="none"/>
        </w:tabs>
        <w:spacing w:line="240" w:lineRule="auto" w:before="3" w:after="0"/>
        <w:ind w:left="160" w:right="0" w:firstLine="1160"/>
        <w:jc w:val="left"/>
        <w:rPr>
          <w:rFonts w:ascii="Arial" w:eastAsia="Arial"/>
          <w:sz w:val="44"/>
        </w:rPr>
      </w:pPr>
      <w:r>
        <w:rPr>
          <w:sz w:val="44"/>
        </w:rPr>
        <w:t>严禁在加油站内任何地方拉绳或晾晒衣物。</w:t>
      </w:r>
    </w:p>
    <w:p>
      <w:pPr>
        <w:spacing w:after="0" w:line="240" w:lineRule="auto"/>
        <w:jc w:val="left"/>
        <w:rPr>
          <w:rFonts w:ascii="Arial" w:eastAsia="Arial"/>
          <w:sz w:val="44"/>
        </w:rPr>
        <w:sectPr>
          <w:pgSz w:w="19120" w:h="27060"/>
          <w:pgMar w:header="0" w:footer="2100" w:top="2400" w:bottom="2300" w:left="2700" w:right="2680"/>
        </w:sectPr>
      </w:pPr>
    </w:p>
    <w:p>
      <w:pPr>
        <w:pStyle w:val="BodyText"/>
        <w:spacing w:before="3"/>
        <w:ind w:left="0"/>
        <w:rPr>
          <w:sz w:val="17"/>
        </w:rPr>
      </w:pPr>
      <w:r>
        <w:rPr/>
        <w:drawing>
          <wp:anchor distT="0" distB="0" distL="0" distR="0" allowOverlap="1" layoutInCell="1" locked="0" behindDoc="1" simplePos="0" relativeHeight="268417031">
            <wp:simplePos x="0" y="0"/>
            <wp:positionH relativeFrom="page">
              <wp:posOffset>1811333</wp:posOffset>
            </wp:positionH>
            <wp:positionV relativeFrom="page">
              <wp:posOffset>1527100</wp:posOffset>
            </wp:positionV>
            <wp:extent cx="8511999" cy="13413999"/>
            <wp:effectExtent l="0" t="0" r="0" b="0"/>
            <wp:wrapNone/>
            <wp:docPr id="7" name="image5.png" descr=""/>
            <wp:cNvGraphicFramePr>
              <a:graphicFrameLocks noChangeAspect="1"/>
            </wp:cNvGraphicFramePr>
            <a:graphic>
              <a:graphicData uri="http://schemas.openxmlformats.org/drawingml/2006/picture">
                <pic:pic>
                  <pic:nvPicPr>
                    <pic:cNvPr id="8" name="image5.png"/>
                    <pic:cNvPicPr/>
                  </pic:nvPicPr>
                  <pic:blipFill>
                    <a:blip r:embed="rId10" cstate="print"/>
                    <a:stretch>
                      <a:fillRect/>
                    </a:stretch>
                  </pic:blipFill>
                  <pic:spPr>
                    <a:xfrm>
                      <a:off x="0" y="0"/>
                      <a:ext cx="8511999" cy="13413999"/>
                    </a:xfrm>
                    <a:prstGeom prst="rect">
                      <a:avLst/>
                    </a:prstGeom>
                  </pic:spPr>
                </pic:pic>
              </a:graphicData>
            </a:graphic>
          </wp:anchor>
        </w:drawing>
      </w:r>
    </w:p>
    <w:p>
      <w:pPr>
        <w:pStyle w:val="ListParagraph"/>
        <w:numPr>
          <w:ilvl w:val="0"/>
          <w:numId w:val="3"/>
        </w:numPr>
        <w:tabs>
          <w:tab w:pos="1820" w:val="left" w:leader="none"/>
        </w:tabs>
        <w:spacing w:line="408" w:lineRule="auto" w:before="59" w:after="0"/>
        <w:ind w:left="160" w:right="1359" w:firstLine="1160"/>
        <w:jc w:val="left"/>
        <w:rPr>
          <w:rFonts w:ascii="Arial" w:eastAsia="Arial"/>
          <w:sz w:val="44"/>
        </w:rPr>
      </w:pPr>
      <w:r>
        <w:rPr>
          <w:sz w:val="44"/>
        </w:rPr>
        <w:t>严禁把孩子带进加油站内，严禁带闲杂人员在站内逗留乱串。</w:t>
      </w:r>
    </w:p>
    <w:p>
      <w:pPr>
        <w:pStyle w:val="ListParagraph"/>
        <w:numPr>
          <w:ilvl w:val="0"/>
          <w:numId w:val="3"/>
        </w:numPr>
        <w:tabs>
          <w:tab w:pos="1820" w:val="left" w:leader="none"/>
        </w:tabs>
        <w:spacing w:line="408" w:lineRule="auto" w:before="3" w:after="0"/>
        <w:ind w:left="160" w:right="1359" w:firstLine="1160"/>
        <w:jc w:val="left"/>
        <w:rPr>
          <w:rFonts w:ascii="Arial" w:eastAsia="Arial"/>
          <w:sz w:val="44"/>
        </w:rPr>
      </w:pPr>
      <w:r>
        <w:rPr>
          <w:sz w:val="44"/>
        </w:rPr>
        <w:t>严守工作岗位，严禁在岗看书看报、干私活、吃零食，打盹睡觉或打架斗殴。</w:t>
      </w:r>
    </w:p>
    <w:p>
      <w:pPr>
        <w:pStyle w:val="ListParagraph"/>
        <w:numPr>
          <w:ilvl w:val="0"/>
          <w:numId w:val="3"/>
        </w:numPr>
        <w:tabs>
          <w:tab w:pos="1820" w:val="left" w:leader="none"/>
        </w:tabs>
        <w:spacing w:line="408" w:lineRule="auto" w:before="23" w:after="0"/>
        <w:ind w:left="160" w:right="1359" w:firstLine="1160"/>
        <w:jc w:val="left"/>
        <w:rPr>
          <w:rFonts w:ascii="Arial" w:eastAsia="Arial"/>
          <w:sz w:val="44"/>
        </w:rPr>
      </w:pPr>
      <w:r>
        <w:rPr>
          <w:sz w:val="44"/>
        </w:rPr>
        <w:t>不得迟到、早退和无故旷工，工作时间不得擅离职守或进行与工作无关的活动。</w:t>
      </w:r>
    </w:p>
    <w:p>
      <w:pPr>
        <w:pStyle w:val="ListParagraph"/>
        <w:numPr>
          <w:ilvl w:val="0"/>
          <w:numId w:val="3"/>
        </w:numPr>
        <w:tabs>
          <w:tab w:pos="1820" w:val="left" w:leader="none"/>
        </w:tabs>
        <w:spacing w:line="240" w:lineRule="auto" w:before="4" w:after="0"/>
        <w:ind w:left="160" w:right="0" w:firstLine="1160"/>
        <w:jc w:val="left"/>
        <w:rPr>
          <w:rFonts w:ascii="Arial" w:eastAsia="Arial"/>
          <w:sz w:val="44"/>
        </w:rPr>
      </w:pPr>
      <w:r>
        <w:rPr>
          <w:sz w:val="44"/>
        </w:rPr>
        <w:t>不准提前或超时吃饭，吃饭时必须交替进行，不能空岗。</w:t>
      </w:r>
    </w:p>
    <w:p>
      <w:pPr>
        <w:pStyle w:val="ListParagraph"/>
        <w:numPr>
          <w:ilvl w:val="0"/>
          <w:numId w:val="3"/>
        </w:numPr>
        <w:tabs>
          <w:tab w:pos="2060" w:val="left" w:leader="none"/>
        </w:tabs>
        <w:spacing w:line="240" w:lineRule="auto" w:before="396" w:after="0"/>
        <w:ind w:left="2060" w:right="0" w:hanging="740"/>
        <w:jc w:val="left"/>
        <w:rPr>
          <w:rFonts w:ascii="Arial" w:eastAsia="Arial"/>
          <w:sz w:val="44"/>
        </w:rPr>
      </w:pPr>
      <w:r>
        <w:rPr>
          <w:sz w:val="44"/>
        </w:rPr>
        <w:t>公司全体职工必须挂牌服务，衣着整洁上岗。</w:t>
      </w:r>
    </w:p>
    <w:p>
      <w:pPr>
        <w:pStyle w:val="ListParagraph"/>
        <w:numPr>
          <w:ilvl w:val="0"/>
          <w:numId w:val="3"/>
        </w:numPr>
        <w:tabs>
          <w:tab w:pos="2060" w:val="left" w:leader="none"/>
        </w:tabs>
        <w:spacing w:line="408" w:lineRule="auto" w:before="416" w:after="0"/>
        <w:ind w:left="160" w:right="1119" w:firstLine="1160"/>
        <w:jc w:val="left"/>
        <w:rPr>
          <w:rFonts w:ascii="Arial" w:eastAsia="Arial"/>
          <w:sz w:val="44"/>
        </w:rPr>
      </w:pPr>
      <w:r>
        <w:rPr>
          <w:sz w:val="44"/>
        </w:rPr>
        <w:t>懂消防知识，熟悉消防器材设置位置，能熟练使用各类消防器材。</w:t>
      </w:r>
    </w:p>
    <w:p>
      <w:pPr>
        <w:pStyle w:val="ListParagraph"/>
        <w:numPr>
          <w:ilvl w:val="0"/>
          <w:numId w:val="3"/>
        </w:numPr>
        <w:tabs>
          <w:tab w:pos="1680" w:val="left" w:leader="none"/>
          <w:tab w:pos="9459" w:val="left" w:leader="none"/>
        </w:tabs>
        <w:spacing w:line="499" w:lineRule="auto" w:before="103" w:after="0"/>
        <w:ind w:left="160" w:right="219" w:firstLine="940"/>
        <w:jc w:val="left"/>
        <w:rPr>
          <w:rFonts w:ascii="Arial" w:eastAsia="Arial"/>
          <w:sz w:val="36"/>
        </w:rPr>
      </w:pPr>
      <w:r>
        <w:rPr>
          <w:sz w:val="36"/>
        </w:rPr>
        <w:t>保持高度的安全防火意识，</w:t>
      </w:r>
      <w:r>
        <w:rPr>
          <w:spacing w:val="80"/>
          <w:sz w:val="36"/>
        </w:rPr>
        <w:t> </w:t>
      </w:r>
      <w:r>
        <w:rPr>
          <w:sz w:val="36"/>
        </w:rPr>
        <w:t>发现火灾及时报警</w:t>
        <w:tab/>
      </w:r>
      <w:r>
        <w:rPr>
          <w:rFonts w:ascii="Arial" w:eastAsia="Arial"/>
          <w:sz w:val="36"/>
        </w:rPr>
        <w:t>119</w:t>
      </w:r>
      <w:r>
        <w:rPr>
          <w:rFonts w:ascii="Arial" w:eastAsia="Arial"/>
          <w:spacing w:val="-42"/>
          <w:sz w:val="36"/>
        </w:rPr>
        <w:t> </w:t>
      </w:r>
      <w:r>
        <w:rPr>
          <w:sz w:val="36"/>
        </w:rPr>
        <w:t>和其他相关部门，</w:t>
      </w:r>
      <w:r>
        <w:rPr>
          <w:spacing w:val="-22"/>
          <w:sz w:val="36"/>
        </w:rPr>
        <w:t> </w:t>
      </w:r>
      <w:r>
        <w:rPr>
          <w:sz w:val="36"/>
        </w:rPr>
        <w:t>并积极参加扑救。</w:t>
      </w:r>
    </w:p>
    <w:p>
      <w:pPr>
        <w:pStyle w:val="BodyText"/>
        <w:spacing w:line="525" w:lineRule="exact"/>
        <w:ind w:left="1320"/>
      </w:pPr>
      <w:r>
        <w:rPr/>
        <w:t>四、安全检查制度</w:t>
      </w:r>
    </w:p>
    <w:p>
      <w:pPr>
        <w:pStyle w:val="ListParagraph"/>
        <w:numPr>
          <w:ilvl w:val="1"/>
          <w:numId w:val="3"/>
        </w:numPr>
        <w:tabs>
          <w:tab w:pos="2319" w:val="left" w:leader="none"/>
          <w:tab w:pos="2320" w:val="left" w:leader="none"/>
        </w:tabs>
        <w:spacing w:line="240" w:lineRule="auto" w:before="357" w:after="0"/>
        <w:ind w:left="160" w:right="0" w:firstLine="1160"/>
        <w:jc w:val="left"/>
        <w:rPr>
          <w:sz w:val="44"/>
        </w:rPr>
      </w:pPr>
      <w:r>
        <w:rPr>
          <w:sz w:val="44"/>
        </w:rPr>
        <w:t>加油员加油前应提醒司机同志熄火加油。</w:t>
      </w:r>
    </w:p>
    <w:p>
      <w:pPr>
        <w:pStyle w:val="ListParagraph"/>
        <w:numPr>
          <w:ilvl w:val="1"/>
          <w:numId w:val="3"/>
        </w:numPr>
        <w:tabs>
          <w:tab w:pos="2319" w:val="left" w:leader="none"/>
          <w:tab w:pos="2320" w:val="left" w:leader="none"/>
        </w:tabs>
        <w:spacing w:line="417" w:lineRule="auto" w:before="396" w:after="0"/>
        <w:ind w:left="160" w:right="1299" w:firstLine="1160"/>
        <w:jc w:val="left"/>
        <w:rPr>
          <w:sz w:val="44"/>
        </w:rPr>
      </w:pPr>
      <w:r>
        <w:rPr>
          <w:sz w:val="44"/>
        </w:rPr>
        <w:t>安全管理人员应定期对电器设备和加油机的保护设置进行检查。（包括静电防护装置、电器防护装置等）</w:t>
      </w:r>
    </w:p>
    <w:p>
      <w:pPr>
        <w:pStyle w:val="ListParagraph"/>
        <w:numPr>
          <w:ilvl w:val="1"/>
          <w:numId w:val="3"/>
        </w:numPr>
        <w:tabs>
          <w:tab w:pos="2319" w:val="left" w:leader="none"/>
          <w:tab w:pos="2320" w:val="left" w:leader="none"/>
        </w:tabs>
        <w:spacing w:line="542" w:lineRule="exact" w:before="0" w:after="0"/>
        <w:ind w:left="160" w:right="0" w:firstLine="1160"/>
        <w:jc w:val="left"/>
        <w:rPr>
          <w:sz w:val="44"/>
        </w:rPr>
      </w:pPr>
      <w:r>
        <w:rPr>
          <w:sz w:val="44"/>
        </w:rPr>
        <w:t>安全管理人员如发现问题及时报负责人进行解决，不</w:t>
      </w:r>
    </w:p>
    <w:p>
      <w:pPr>
        <w:pStyle w:val="BodyText"/>
        <w:spacing w:before="396"/>
      </w:pPr>
      <w:r>
        <w:rPr/>
        <w:t>能延时报告，更不能不报。</w:t>
      </w:r>
    </w:p>
    <w:p>
      <w:pPr>
        <w:pStyle w:val="ListParagraph"/>
        <w:numPr>
          <w:ilvl w:val="1"/>
          <w:numId w:val="3"/>
        </w:numPr>
        <w:tabs>
          <w:tab w:pos="2319" w:val="left" w:leader="none"/>
          <w:tab w:pos="2320" w:val="left" w:leader="none"/>
        </w:tabs>
        <w:spacing w:line="417" w:lineRule="auto" w:before="396" w:after="0"/>
        <w:ind w:left="160" w:right="1299" w:firstLine="1160"/>
        <w:jc w:val="left"/>
        <w:rPr>
          <w:sz w:val="44"/>
        </w:rPr>
      </w:pPr>
      <w:r>
        <w:rPr>
          <w:sz w:val="44"/>
        </w:rPr>
        <w:t>安全管理人员经常监督工作人员，不准穿戴易产生静电的工作服。</w:t>
      </w:r>
    </w:p>
    <w:p>
      <w:pPr>
        <w:pStyle w:val="ListParagraph"/>
        <w:numPr>
          <w:ilvl w:val="1"/>
          <w:numId w:val="3"/>
        </w:numPr>
        <w:tabs>
          <w:tab w:pos="1820" w:val="left" w:leader="none"/>
        </w:tabs>
        <w:spacing w:line="542" w:lineRule="exact" w:before="0" w:after="0"/>
        <w:ind w:left="1820" w:right="0" w:hanging="500"/>
        <w:jc w:val="left"/>
        <w:rPr>
          <w:sz w:val="44"/>
        </w:rPr>
      </w:pPr>
      <w:r>
        <w:rPr>
          <w:sz w:val="44"/>
        </w:rPr>
        <w:t>安全管理人员检查工作人员加油时严格按操作规程操</w:t>
      </w:r>
    </w:p>
    <w:p>
      <w:pPr>
        <w:pStyle w:val="BodyText"/>
        <w:spacing w:before="397"/>
      </w:pPr>
      <w:r>
        <w:rPr/>
        <w:t>作，不准违章操作。</w:t>
      </w:r>
    </w:p>
    <w:p>
      <w:pPr>
        <w:spacing w:after="0"/>
        <w:sectPr>
          <w:pgSz w:w="19120" w:h="27060"/>
          <w:pgMar w:header="0" w:footer="2100" w:top="2400" w:bottom="2300" w:left="2700" w:right="2680"/>
        </w:sectPr>
      </w:pPr>
    </w:p>
    <w:p>
      <w:pPr>
        <w:pStyle w:val="BodyText"/>
        <w:spacing w:before="3"/>
        <w:ind w:left="0"/>
        <w:rPr>
          <w:sz w:val="17"/>
        </w:rPr>
      </w:pPr>
      <w:r>
        <w:rPr/>
        <w:drawing>
          <wp:anchor distT="0" distB="0" distL="0" distR="0" allowOverlap="1" layoutInCell="1" locked="0" behindDoc="1" simplePos="0" relativeHeight="268417055">
            <wp:simplePos x="0" y="0"/>
            <wp:positionH relativeFrom="page">
              <wp:posOffset>1811333</wp:posOffset>
            </wp:positionH>
            <wp:positionV relativeFrom="page">
              <wp:posOffset>1527100</wp:posOffset>
            </wp:positionV>
            <wp:extent cx="8511999" cy="13413999"/>
            <wp:effectExtent l="0" t="0" r="0" b="0"/>
            <wp:wrapNone/>
            <wp:docPr id="9" name="image5.png" descr=""/>
            <wp:cNvGraphicFramePr>
              <a:graphicFrameLocks noChangeAspect="1"/>
            </wp:cNvGraphicFramePr>
            <a:graphic>
              <a:graphicData uri="http://schemas.openxmlformats.org/drawingml/2006/picture">
                <pic:pic>
                  <pic:nvPicPr>
                    <pic:cNvPr id="10" name="image5.png"/>
                    <pic:cNvPicPr/>
                  </pic:nvPicPr>
                  <pic:blipFill>
                    <a:blip r:embed="rId10" cstate="print"/>
                    <a:stretch>
                      <a:fillRect/>
                    </a:stretch>
                  </pic:blipFill>
                  <pic:spPr>
                    <a:xfrm>
                      <a:off x="0" y="0"/>
                      <a:ext cx="8511999" cy="13413999"/>
                    </a:xfrm>
                    <a:prstGeom prst="rect">
                      <a:avLst/>
                    </a:prstGeom>
                  </pic:spPr>
                </pic:pic>
              </a:graphicData>
            </a:graphic>
          </wp:anchor>
        </w:drawing>
      </w:r>
    </w:p>
    <w:p>
      <w:pPr>
        <w:pStyle w:val="ListParagraph"/>
        <w:numPr>
          <w:ilvl w:val="1"/>
          <w:numId w:val="3"/>
        </w:numPr>
        <w:tabs>
          <w:tab w:pos="2319" w:val="left" w:leader="none"/>
          <w:tab w:pos="2320" w:val="left" w:leader="none"/>
        </w:tabs>
        <w:spacing w:line="408" w:lineRule="auto" w:before="59" w:after="0"/>
        <w:ind w:left="160" w:right="1299" w:firstLine="1160"/>
        <w:jc w:val="left"/>
        <w:rPr>
          <w:sz w:val="44"/>
        </w:rPr>
      </w:pPr>
      <w:r>
        <w:rPr>
          <w:sz w:val="44"/>
        </w:rPr>
        <w:t>安全管理人员定期检查消防设施、器材、用具等是否有效。</w:t>
      </w:r>
    </w:p>
    <w:p>
      <w:pPr>
        <w:pStyle w:val="ListParagraph"/>
        <w:numPr>
          <w:ilvl w:val="1"/>
          <w:numId w:val="3"/>
        </w:numPr>
        <w:tabs>
          <w:tab w:pos="2419" w:val="left" w:leader="none"/>
          <w:tab w:pos="2420" w:val="left" w:leader="none"/>
        </w:tabs>
        <w:spacing w:line="391" w:lineRule="auto" w:before="43" w:after="0"/>
        <w:ind w:left="160" w:right="1199" w:firstLine="1300"/>
        <w:jc w:val="left"/>
        <w:rPr>
          <w:sz w:val="44"/>
        </w:rPr>
      </w:pPr>
      <w:r>
        <w:rPr>
          <w:sz w:val="44"/>
        </w:rPr>
        <w:t>安全管理人员必须对卸油进行监督，决不允许违反卸油操作规程，如发现有违反卸油操作规程的，应立即制止。</w:t>
      </w:r>
    </w:p>
    <w:p>
      <w:pPr>
        <w:pStyle w:val="ListParagraph"/>
        <w:numPr>
          <w:ilvl w:val="1"/>
          <w:numId w:val="3"/>
        </w:numPr>
        <w:tabs>
          <w:tab w:pos="2319" w:val="left" w:leader="none"/>
          <w:tab w:pos="2320" w:val="left" w:leader="none"/>
        </w:tabs>
        <w:spacing w:line="240" w:lineRule="auto" w:before="62" w:after="0"/>
        <w:ind w:left="160" w:right="0" w:firstLine="1160"/>
        <w:jc w:val="left"/>
        <w:rPr>
          <w:sz w:val="44"/>
        </w:rPr>
      </w:pPr>
      <w:r>
        <w:rPr>
          <w:sz w:val="44"/>
        </w:rPr>
        <w:t>每季度对全站内的设施进行全面安全检查。</w:t>
      </w:r>
    </w:p>
    <w:p>
      <w:pPr>
        <w:pStyle w:val="ListParagraph"/>
        <w:numPr>
          <w:ilvl w:val="1"/>
          <w:numId w:val="3"/>
        </w:numPr>
        <w:tabs>
          <w:tab w:pos="2319" w:val="left" w:leader="none"/>
          <w:tab w:pos="2320" w:val="left" w:leader="none"/>
        </w:tabs>
        <w:spacing w:line="408" w:lineRule="auto" w:before="397" w:after="0"/>
        <w:ind w:left="160" w:right="1299" w:firstLine="1160"/>
        <w:jc w:val="left"/>
        <w:rPr>
          <w:sz w:val="44"/>
        </w:rPr>
      </w:pPr>
      <w:r>
        <w:rPr>
          <w:sz w:val="44"/>
        </w:rPr>
        <w:t>对检查结果应记录并存档。如需整改，则应制定整改计划并按整改措施进行整改。</w:t>
      </w:r>
    </w:p>
    <w:p>
      <w:pPr>
        <w:pStyle w:val="ListParagraph"/>
        <w:numPr>
          <w:ilvl w:val="1"/>
          <w:numId w:val="3"/>
        </w:numPr>
        <w:tabs>
          <w:tab w:pos="2539" w:val="left" w:leader="none"/>
          <w:tab w:pos="2540" w:val="left" w:leader="none"/>
        </w:tabs>
        <w:spacing w:line="240" w:lineRule="auto" w:before="3" w:after="0"/>
        <w:ind w:left="2540" w:right="0" w:hanging="1220"/>
        <w:jc w:val="left"/>
        <w:rPr>
          <w:sz w:val="44"/>
        </w:rPr>
      </w:pPr>
      <w:r>
        <w:rPr>
          <w:sz w:val="44"/>
        </w:rPr>
        <w:t>在雷雨季节应特别加强安全巡检和防护。</w:t>
      </w:r>
    </w:p>
    <w:p>
      <w:pPr>
        <w:pStyle w:val="BodyText"/>
        <w:ind w:left="0"/>
        <w:rPr>
          <w:sz w:val="20"/>
        </w:rPr>
      </w:pPr>
    </w:p>
    <w:p>
      <w:pPr>
        <w:pStyle w:val="BodyText"/>
        <w:spacing w:before="200"/>
        <w:ind w:left="1320"/>
      </w:pPr>
      <w:r>
        <w:rPr/>
        <w:t>五、安全教育培训制度</w:t>
      </w:r>
    </w:p>
    <w:p>
      <w:pPr>
        <w:pStyle w:val="ListParagraph"/>
        <w:numPr>
          <w:ilvl w:val="0"/>
          <w:numId w:val="4"/>
        </w:numPr>
        <w:tabs>
          <w:tab w:pos="2319" w:val="left" w:leader="none"/>
          <w:tab w:pos="2320" w:val="left" w:leader="none"/>
        </w:tabs>
        <w:spacing w:line="240" w:lineRule="auto" w:before="356" w:after="0"/>
        <w:ind w:left="160" w:right="0" w:firstLine="1160"/>
        <w:jc w:val="left"/>
        <w:rPr>
          <w:sz w:val="44"/>
        </w:rPr>
      </w:pPr>
      <w:r>
        <w:rPr>
          <w:sz w:val="44"/>
        </w:rPr>
        <w:t>加油站对新职工进行安全培训，经考试合格后方能上</w:t>
      </w:r>
    </w:p>
    <w:p>
      <w:pPr>
        <w:pStyle w:val="BodyText"/>
        <w:spacing w:before="396"/>
      </w:pPr>
      <w:r>
        <w:rPr/>
        <w:t>岗。</w:t>
      </w:r>
    </w:p>
    <w:p>
      <w:pPr>
        <w:pStyle w:val="ListParagraph"/>
        <w:numPr>
          <w:ilvl w:val="0"/>
          <w:numId w:val="4"/>
        </w:numPr>
        <w:tabs>
          <w:tab w:pos="2319" w:val="left" w:leader="none"/>
          <w:tab w:pos="2320" w:val="left" w:leader="none"/>
        </w:tabs>
        <w:spacing w:line="240" w:lineRule="auto" w:before="417" w:after="0"/>
        <w:ind w:left="160" w:right="0" w:firstLine="1160"/>
        <w:jc w:val="left"/>
        <w:rPr>
          <w:sz w:val="44"/>
        </w:rPr>
      </w:pPr>
      <w:r>
        <w:rPr>
          <w:sz w:val="44"/>
        </w:rPr>
        <w:t>定期对员工进行安全教育。（防水、操作、劳动保护</w:t>
      </w:r>
    </w:p>
    <w:p>
      <w:pPr>
        <w:pStyle w:val="BodyText"/>
        <w:spacing w:before="12"/>
        <w:ind w:left="0"/>
        <w:rPr>
          <w:sz w:val="27"/>
        </w:rPr>
      </w:pPr>
    </w:p>
    <w:p>
      <w:pPr>
        <w:pStyle w:val="BodyText"/>
        <w:tabs>
          <w:tab w:pos="9699" w:val="left" w:leader="none"/>
        </w:tabs>
        <w:spacing w:line="408" w:lineRule="auto" w:before="38"/>
        <w:ind w:right="519"/>
      </w:pPr>
      <w:r>
        <w:rPr/>
        <w:t>等</w:t>
      </w:r>
      <w:r>
        <w:rPr>
          <w:spacing w:val="20"/>
        </w:rPr>
        <w:t>）</w:t>
      </w:r>
      <w:r>
        <w:rPr/>
        <w:t>对加油站的消防应急预案定期教育培训。</w:t>
        <w:tab/>
        <w:t>使员工熟悉掌握应急内容和应急处理方法。</w:t>
      </w:r>
    </w:p>
    <w:p>
      <w:pPr>
        <w:pStyle w:val="ListParagraph"/>
        <w:numPr>
          <w:ilvl w:val="0"/>
          <w:numId w:val="4"/>
        </w:numPr>
        <w:tabs>
          <w:tab w:pos="2319" w:val="left" w:leader="none"/>
          <w:tab w:pos="2320" w:val="left" w:leader="none"/>
        </w:tabs>
        <w:spacing w:line="240" w:lineRule="auto" w:before="3" w:after="0"/>
        <w:ind w:left="160" w:right="0" w:firstLine="1160"/>
        <w:jc w:val="left"/>
        <w:rPr>
          <w:sz w:val="44"/>
        </w:rPr>
      </w:pPr>
      <w:r>
        <w:rPr>
          <w:sz w:val="44"/>
        </w:rPr>
        <w:t>按照上级有关规定参加安全教育培训。</w:t>
      </w:r>
    </w:p>
    <w:p>
      <w:pPr>
        <w:pStyle w:val="ListParagraph"/>
        <w:numPr>
          <w:ilvl w:val="0"/>
          <w:numId w:val="4"/>
        </w:numPr>
        <w:tabs>
          <w:tab w:pos="2319" w:val="left" w:leader="none"/>
          <w:tab w:pos="2320" w:val="left" w:leader="none"/>
        </w:tabs>
        <w:spacing w:line="408" w:lineRule="auto" w:before="416" w:after="0"/>
        <w:ind w:left="160" w:right="1299" w:firstLine="1160"/>
        <w:jc w:val="left"/>
        <w:rPr>
          <w:sz w:val="44"/>
        </w:rPr>
      </w:pPr>
      <w:r>
        <w:rPr>
          <w:sz w:val="44"/>
        </w:rPr>
        <w:t>定期学习加油站的安全规章制度，使员工掌握熟悉加油站安全管理制度。</w:t>
      </w:r>
    </w:p>
    <w:p>
      <w:pPr>
        <w:pStyle w:val="ListParagraph"/>
        <w:numPr>
          <w:ilvl w:val="0"/>
          <w:numId w:val="4"/>
        </w:numPr>
        <w:tabs>
          <w:tab w:pos="1820" w:val="left" w:leader="none"/>
        </w:tabs>
        <w:spacing w:line="424" w:lineRule="auto" w:before="4" w:after="0"/>
        <w:ind w:left="1320" w:right="6699" w:firstLine="0"/>
        <w:jc w:val="left"/>
        <w:rPr>
          <w:sz w:val="44"/>
        </w:rPr>
      </w:pPr>
      <w:r>
        <w:rPr>
          <w:sz w:val="44"/>
        </w:rPr>
        <w:t>培训考核材料应存档。  六、安全用火、用电管理制度</w:t>
      </w:r>
    </w:p>
    <w:p>
      <w:pPr>
        <w:pStyle w:val="ListParagraph"/>
        <w:numPr>
          <w:ilvl w:val="0"/>
          <w:numId w:val="5"/>
        </w:numPr>
        <w:tabs>
          <w:tab w:pos="1820" w:val="left" w:leader="none"/>
        </w:tabs>
        <w:spacing w:line="508" w:lineRule="exact" w:before="0" w:after="0"/>
        <w:ind w:left="160" w:right="0" w:firstLine="1160"/>
        <w:jc w:val="left"/>
        <w:rPr>
          <w:sz w:val="44"/>
        </w:rPr>
      </w:pPr>
      <w:r>
        <w:rPr>
          <w:sz w:val="44"/>
        </w:rPr>
        <w:t>加油站内严禁吸烟，严禁带火种进入。</w:t>
      </w:r>
    </w:p>
    <w:p>
      <w:pPr>
        <w:pStyle w:val="ListParagraph"/>
        <w:numPr>
          <w:ilvl w:val="0"/>
          <w:numId w:val="5"/>
        </w:numPr>
        <w:tabs>
          <w:tab w:pos="1820" w:val="left" w:leader="none"/>
        </w:tabs>
        <w:spacing w:line="408" w:lineRule="auto" w:before="396" w:after="0"/>
        <w:ind w:left="160" w:right="1359" w:firstLine="1160"/>
        <w:jc w:val="left"/>
        <w:rPr>
          <w:sz w:val="44"/>
        </w:rPr>
      </w:pPr>
      <w:r>
        <w:rPr>
          <w:sz w:val="44"/>
        </w:rPr>
        <w:t>因设备检修等情况，必须明火时，要书面报告上级主管部门，批准后采取可靠安全措施，方可施工。</w:t>
      </w:r>
    </w:p>
    <w:p>
      <w:pPr>
        <w:spacing w:after="0" w:line="408" w:lineRule="auto"/>
        <w:jc w:val="left"/>
        <w:rPr>
          <w:sz w:val="44"/>
        </w:rPr>
        <w:sectPr>
          <w:footerReference w:type="default" r:id="rId11"/>
          <w:pgSz w:w="19120" w:h="27060"/>
          <w:pgMar w:footer="2100" w:header="0" w:top="2400" w:bottom="2300" w:left="2700" w:right="2680"/>
          <w:pgNumType w:start="10"/>
        </w:sectPr>
      </w:pPr>
    </w:p>
    <w:p>
      <w:pPr>
        <w:pStyle w:val="BodyText"/>
        <w:spacing w:before="3"/>
        <w:ind w:left="0"/>
        <w:rPr>
          <w:sz w:val="17"/>
        </w:rPr>
      </w:pPr>
      <w:r>
        <w:rPr/>
        <w:drawing>
          <wp:anchor distT="0" distB="0" distL="0" distR="0" allowOverlap="1" layoutInCell="1" locked="0" behindDoc="1" simplePos="0" relativeHeight="268417079">
            <wp:simplePos x="0" y="0"/>
            <wp:positionH relativeFrom="page">
              <wp:posOffset>1811333</wp:posOffset>
            </wp:positionH>
            <wp:positionV relativeFrom="page">
              <wp:posOffset>1527100</wp:posOffset>
            </wp:positionV>
            <wp:extent cx="8511999" cy="13413999"/>
            <wp:effectExtent l="0" t="0" r="0" b="0"/>
            <wp:wrapNone/>
            <wp:docPr id="11" name="image5.png" descr=""/>
            <wp:cNvGraphicFramePr>
              <a:graphicFrameLocks noChangeAspect="1"/>
            </wp:cNvGraphicFramePr>
            <a:graphic>
              <a:graphicData uri="http://schemas.openxmlformats.org/drawingml/2006/picture">
                <pic:pic>
                  <pic:nvPicPr>
                    <pic:cNvPr id="12" name="image5.png"/>
                    <pic:cNvPicPr/>
                  </pic:nvPicPr>
                  <pic:blipFill>
                    <a:blip r:embed="rId10" cstate="print"/>
                    <a:stretch>
                      <a:fillRect/>
                    </a:stretch>
                  </pic:blipFill>
                  <pic:spPr>
                    <a:xfrm>
                      <a:off x="0" y="0"/>
                      <a:ext cx="8511999" cy="13413999"/>
                    </a:xfrm>
                    <a:prstGeom prst="rect">
                      <a:avLst/>
                    </a:prstGeom>
                  </pic:spPr>
                </pic:pic>
              </a:graphicData>
            </a:graphic>
          </wp:anchor>
        </w:drawing>
      </w:r>
    </w:p>
    <w:p>
      <w:pPr>
        <w:pStyle w:val="ListParagraph"/>
        <w:numPr>
          <w:ilvl w:val="0"/>
          <w:numId w:val="5"/>
        </w:numPr>
        <w:tabs>
          <w:tab w:pos="2320" w:val="left" w:leader="none"/>
        </w:tabs>
        <w:spacing w:line="408" w:lineRule="auto" w:before="59" w:after="0"/>
        <w:ind w:left="160" w:right="1299" w:firstLine="1160"/>
        <w:jc w:val="both"/>
        <w:rPr>
          <w:sz w:val="44"/>
        </w:rPr>
      </w:pPr>
      <w:r>
        <w:rPr>
          <w:sz w:val="44"/>
        </w:rPr>
        <w:t>站内所设烧水、做饭、取暖用炉灶要设在安全部位，炉灰用水浸凉，倒在指定地点，确保安全。</w:t>
      </w:r>
    </w:p>
    <w:p>
      <w:pPr>
        <w:pStyle w:val="ListParagraph"/>
        <w:numPr>
          <w:ilvl w:val="0"/>
          <w:numId w:val="5"/>
        </w:numPr>
        <w:tabs>
          <w:tab w:pos="2320" w:val="left" w:leader="none"/>
        </w:tabs>
        <w:spacing w:line="408" w:lineRule="auto" w:before="3" w:after="0"/>
        <w:ind w:left="160" w:right="1299" w:firstLine="1160"/>
        <w:jc w:val="both"/>
        <w:rPr>
          <w:sz w:val="44"/>
        </w:rPr>
      </w:pPr>
      <w:r>
        <w:rPr>
          <w:sz w:val="44"/>
        </w:rPr>
        <w:t>加油站的油罐区和加油场地所用的照明灯只可选用防爆型。</w:t>
      </w:r>
    </w:p>
    <w:p>
      <w:pPr>
        <w:pStyle w:val="ListParagraph"/>
        <w:numPr>
          <w:ilvl w:val="0"/>
          <w:numId w:val="5"/>
        </w:numPr>
        <w:tabs>
          <w:tab w:pos="1820" w:val="left" w:leader="none"/>
        </w:tabs>
        <w:spacing w:line="408" w:lineRule="auto" w:before="23" w:after="0"/>
        <w:ind w:left="160" w:right="1259" w:firstLine="1160"/>
        <w:jc w:val="both"/>
        <w:rPr>
          <w:sz w:val="44"/>
        </w:rPr>
      </w:pPr>
      <w:r>
        <w:rPr>
          <w:sz w:val="44"/>
        </w:rPr>
        <w:t>站内不准乱拉临时线，安装照明线应按照电器安装的有关规定进行。站内配电箱内，不准存放其它物品，要保持清洁干净。</w:t>
      </w:r>
    </w:p>
    <w:p>
      <w:pPr>
        <w:pStyle w:val="ListParagraph"/>
        <w:numPr>
          <w:ilvl w:val="0"/>
          <w:numId w:val="5"/>
        </w:numPr>
        <w:tabs>
          <w:tab w:pos="2319" w:val="left" w:leader="none"/>
          <w:tab w:pos="2320" w:val="left" w:leader="none"/>
        </w:tabs>
        <w:spacing w:line="240" w:lineRule="auto" w:before="5" w:after="0"/>
        <w:ind w:left="2320" w:right="0" w:hanging="1000"/>
        <w:jc w:val="left"/>
        <w:rPr>
          <w:sz w:val="44"/>
        </w:rPr>
      </w:pPr>
      <w:r>
        <w:rPr>
          <w:sz w:val="44"/>
        </w:rPr>
        <w:t>各室生活用电设备等，做到人走停用。电气设备和线</w:t>
      </w:r>
    </w:p>
    <w:p>
      <w:pPr>
        <w:pStyle w:val="BodyText"/>
        <w:tabs>
          <w:tab w:pos="4459" w:val="left" w:leader="none"/>
          <w:tab w:pos="13059" w:val="left" w:leader="none"/>
        </w:tabs>
        <w:spacing w:line="408" w:lineRule="auto" w:before="417"/>
        <w:ind w:right="239"/>
      </w:pPr>
      <w:r>
        <w:rPr/>
        <w:t>路的绝缘必须良好，</w:t>
        <w:tab/>
        <w:t>电气设备开关应有本岗位使用人员管理，</w:t>
        <w:tab/>
        <w:t>其它人员不得动用。</w:t>
      </w:r>
    </w:p>
    <w:p>
      <w:pPr>
        <w:pStyle w:val="BodyText"/>
        <w:spacing w:before="43"/>
        <w:ind w:left="1320"/>
      </w:pPr>
      <w:r>
        <w:rPr/>
        <w:t>七、设备安全管理制度</w:t>
      </w:r>
    </w:p>
    <w:p>
      <w:pPr>
        <w:pStyle w:val="ListParagraph"/>
        <w:numPr>
          <w:ilvl w:val="0"/>
          <w:numId w:val="6"/>
        </w:numPr>
        <w:tabs>
          <w:tab w:pos="2319" w:val="left" w:leader="none"/>
          <w:tab w:pos="2320" w:val="left" w:leader="none"/>
        </w:tabs>
        <w:spacing w:line="408" w:lineRule="auto" w:before="376" w:after="0"/>
        <w:ind w:left="160" w:right="1299" w:firstLine="1160"/>
        <w:jc w:val="left"/>
        <w:rPr>
          <w:sz w:val="44"/>
        </w:rPr>
      </w:pPr>
      <w:r>
        <w:rPr>
          <w:sz w:val="44"/>
        </w:rPr>
        <w:t>本站的设备安全管理要按照国家的《汽车加油、加气站设计与施工规范》的要求进行管理。</w:t>
      </w:r>
    </w:p>
    <w:p>
      <w:pPr>
        <w:pStyle w:val="ListParagraph"/>
        <w:numPr>
          <w:ilvl w:val="0"/>
          <w:numId w:val="6"/>
        </w:numPr>
        <w:tabs>
          <w:tab w:pos="2320" w:val="left" w:leader="none"/>
        </w:tabs>
        <w:spacing w:line="412" w:lineRule="auto" w:before="3" w:after="0"/>
        <w:ind w:left="160" w:right="1259" w:firstLine="1160"/>
        <w:jc w:val="both"/>
        <w:rPr>
          <w:sz w:val="44"/>
        </w:rPr>
      </w:pPr>
      <w:r>
        <w:rPr>
          <w:sz w:val="44"/>
        </w:rPr>
        <w:t>根据《规范》的标准要求，定期对站内电气设备、防雷、防静电设施等进行检测。对查出的问题要及时维修，符合标准要求。</w:t>
      </w:r>
    </w:p>
    <w:p>
      <w:pPr>
        <w:pStyle w:val="ListParagraph"/>
        <w:numPr>
          <w:ilvl w:val="0"/>
          <w:numId w:val="6"/>
        </w:numPr>
        <w:tabs>
          <w:tab w:pos="1820" w:val="left" w:leader="none"/>
        </w:tabs>
        <w:spacing w:line="408" w:lineRule="auto" w:before="0" w:after="0"/>
        <w:ind w:left="160" w:right="919" w:firstLine="1160"/>
        <w:jc w:val="left"/>
        <w:rPr>
          <w:sz w:val="44"/>
        </w:rPr>
      </w:pPr>
      <w:r>
        <w:rPr>
          <w:sz w:val="44"/>
        </w:rPr>
        <w:t>加强设备档案管理，对站内的设备技术资料（电气设备、加油机油罐、油管道等）及建筑设计、竣工的图纸和验收报告资料要完整存档，妥善保管。</w:t>
      </w:r>
    </w:p>
    <w:p>
      <w:pPr>
        <w:pStyle w:val="ListParagraph"/>
        <w:numPr>
          <w:ilvl w:val="0"/>
          <w:numId w:val="6"/>
        </w:numPr>
        <w:tabs>
          <w:tab w:pos="2319" w:val="left" w:leader="none"/>
          <w:tab w:pos="2320" w:val="left" w:leader="none"/>
        </w:tabs>
        <w:spacing w:line="240" w:lineRule="auto" w:before="16" w:after="0"/>
        <w:ind w:left="160" w:right="0" w:firstLine="1160"/>
        <w:jc w:val="left"/>
        <w:rPr>
          <w:sz w:val="44"/>
        </w:rPr>
      </w:pPr>
      <w:r>
        <w:rPr>
          <w:sz w:val="44"/>
        </w:rPr>
        <w:t>加强设备检查和定期保养，使之保持良好安全状态。</w:t>
      </w:r>
    </w:p>
    <w:p>
      <w:pPr>
        <w:pStyle w:val="BodyText"/>
        <w:spacing w:line="408" w:lineRule="auto" w:before="396"/>
        <w:ind w:right="1159" w:firstLine="1160"/>
      </w:pPr>
      <w:r>
        <w:rPr>
          <w:rFonts w:ascii="Arial" w:eastAsia="Arial"/>
        </w:rPr>
        <w:t>5</w:t>
      </w:r>
      <w:r>
        <w:rPr/>
        <w:t>．建立健全设备检查、维修的技术档案，对设备检修的内容予以记录、存档。</w:t>
      </w:r>
    </w:p>
    <w:p>
      <w:pPr>
        <w:spacing w:after="0" w:line="408" w:lineRule="auto"/>
        <w:sectPr>
          <w:pgSz w:w="19120" w:h="27060"/>
          <w:pgMar w:header="0" w:footer="2100" w:top="2400" w:bottom="2300" w:left="2700" w:right="2680"/>
        </w:sectPr>
      </w:pPr>
    </w:p>
    <w:p>
      <w:pPr>
        <w:pStyle w:val="BodyText"/>
        <w:spacing w:before="3"/>
        <w:ind w:left="0"/>
        <w:rPr>
          <w:sz w:val="17"/>
        </w:rPr>
      </w:pPr>
      <w:r>
        <w:rPr/>
        <w:drawing>
          <wp:anchor distT="0" distB="0" distL="0" distR="0" allowOverlap="1" layoutInCell="1" locked="0" behindDoc="1" simplePos="0" relativeHeight="268417103">
            <wp:simplePos x="0" y="0"/>
            <wp:positionH relativeFrom="page">
              <wp:posOffset>1811333</wp:posOffset>
            </wp:positionH>
            <wp:positionV relativeFrom="page">
              <wp:posOffset>1527100</wp:posOffset>
            </wp:positionV>
            <wp:extent cx="8511999" cy="13413999"/>
            <wp:effectExtent l="0" t="0" r="0" b="0"/>
            <wp:wrapNone/>
            <wp:docPr id="13" name="image5.png" descr=""/>
            <wp:cNvGraphicFramePr>
              <a:graphicFrameLocks noChangeAspect="1"/>
            </wp:cNvGraphicFramePr>
            <a:graphic>
              <a:graphicData uri="http://schemas.openxmlformats.org/drawingml/2006/picture">
                <pic:pic>
                  <pic:nvPicPr>
                    <pic:cNvPr id="14" name="image5.png"/>
                    <pic:cNvPicPr/>
                  </pic:nvPicPr>
                  <pic:blipFill>
                    <a:blip r:embed="rId10" cstate="print"/>
                    <a:stretch>
                      <a:fillRect/>
                    </a:stretch>
                  </pic:blipFill>
                  <pic:spPr>
                    <a:xfrm>
                      <a:off x="0" y="0"/>
                      <a:ext cx="8511999" cy="13413999"/>
                    </a:xfrm>
                    <a:prstGeom prst="rect">
                      <a:avLst/>
                    </a:prstGeom>
                  </pic:spPr>
                </pic:pic>
              </a:graphicData>
            </a:graphic>
          </wp:anchor>
        </w:drawing>
      </w:r>
    </w:p>
    <w:p>
      <w:pPr>
        <w:pStyle w:val="BodyText"/>
        <w:spacing w:line="408" w:lineRule="auto" w:before="59"/>
        <w:ind w:right="1359" w:firstLine="1160"/>
      </w:pPr>
      <w:r>
        <w:rPr>
          <w:rFonts w:ascii="Arial" w:eastAsia="Arial"/>
        </w:rPr>
        <w:t>6. </w:t>
      </w:r>
      <w:r>
        <w:rPr/>
        <w:t>实行巡检制度，要经常巡检站内的设备发现故障立即查找原因，及时排除，以确保加油站设备安全运行。</w:t>
      </w:r>
    </w:p>
    <w:p>
      <w:pPr>
        <w:pStyle w:val="BodyText"/>
        <w:spacing w:before="43"/>
        <w:ind w:left="1320"/>
      </w:pPr>
      <w:r>
        <w:rPr/>
        <w:t>八、防火防爆安全管理制度</w:t>
      </w:r>
    </w:p>
    <w:p>
      <w:pPr>
        <w:pStyle w:val="ListParagraph"/>
        <w:numPr>
          <w:ilvl w:val="0"/>
          <w:numId w:val="7"/>
        </w:numPr>
        <w:tabs>
          <w:tab w:pos="1820" w:val="left" w:leader="none"/>
        </w:tabs>
        <w:spacing w:line="240" w:lineRule="auto" w:before="356" w:after="0"/>
        <w:ind w:left="160" w:right="0" w:firstLine="1160"/>
        <w:jc w:val="left"/>
        <w:rPr>
          <w:sz w:val="44"/>
        </w:rPr>
      </w:pPr>
      <w:r>
        <w:rPr>
          <w:sz w:val="44"/>
        </w:rPr>
        <w:t>严禁烟火，严禁堆放易燃物。</w:t>
      </w:r>
    </w:p>
    <w:p>
      <w:pPr>
        <w:pStyle w:val="ListParagraph"/>
        <w:numPr>
          <w:ilvl w:val="0"/>
          <w:numId w:val="7"/>
        </w:numPr>
        <w:tabs>
          <w:tab w:pos="1820" w:val="left" w:leader="none"/>
        </w:tabs>
        <w:spacing w:line="240" w:lineRule="auto" w:before="417" w:after="0"/>
        <w:ind w:left="160" w:right="0" w:firstLine="1160"/>
        <w:jc w:val="left"/>
        <w:rPr>
          <w:sz w:val="44"/>
        </w:rPr>
      </w:pPr>
      <w:r>
        <w:rPr>
          <w:sz w:val="44"/>
        </w:rPr>
        <w:t>严禁工作人员穿带钉子的鞋和易产生静电的服装上岗。</w:t>
      </w:r>
    </w:p>
    <w:p>
      <w:pPr>
        <w:pStyle w:val="ListParagraph"/>
        <w:numPr>
          <w:ilvl w:val="0"/>
          <w:numId w:val="7"/>
        </w:numPr>
        <w:tabs>
          <w:tab w:pos="2319" w:val="left" w:leader="none"/>
          <w:tab w:pos="2320" w:val="left" w:leader="none"/>
        </w:tabs>
        <w:spacing w:line="408" w:lineRule="auto" w:before="396" w:after="0"/>
        <w:ind w:left="160" w:right="1299" w:firstLine="1160"/>
        <w:jc w:val="left"/>
        <w:rPr>
          <w:sz w:val="44"/>
        </w:rPr>
      </w:pPr>
      <w:r>
        <w:rPr>
          <w:sz w:val="44"/>
        </w:rPr>
        <w:t>严禁使用汽油擦洗衣服和器具，严禁使用化纤拖把和抹布。</w:t>
      </w:r>
    </w:p>
    <w:p>
      <w:pPr>
        <w:pStyle w:val="ListParagraph"/>
        <w:numPr>
          <w:ilvl w:val="0"/>
          <w:numId w:val="7"/>
        </w:numPr>
        <w:tabs>
          <w:tab w:pos="2319" w:val="left" w:leader="none"/>
          <w:tab w:pos="2320" w:val="left" w:leader="none"/>
        </w:tabs>
        <w:spacing w:line="240" w:lineRule="auto" w:before="3" w:after="0"/>
        <w:ind w:left="2320" w:right="0" w:hanging="1000"/>
        <w:jc w:val="left"/>
        <w:rPr>
          <w:sz w:val="44"/>
        </w:rPr>
      </w:pPr>
      <w:r>
        <w:rPr>
          <w:sz w:val="44"/>
        </w:rPr>
        <w:t>严禁给未熄火的车辆加油，严禁加油枪碰撞车辆排烟</w:t>
      </w:r>
    </w:p>
    <w:p>
      <w:pPr>
        <w:pStyle w:val="BodyText"/>
        <w:spacing w:before="7"/>
        <w:ind w:left="0"/>
        <w:rPr>
          <w:sz w:val="29"/>
        </w:rPr>
      </w:pPr>
    </w:p>
    <w:p>
      <w:pPr>
        <w:pStyle w:val="BodyText"/>
        <w:spacing w:before="38"/>
      </w:pPr>
      <w:r>
        <w:rPr/>
        <w:t>口。</w:t>
      </w:r>
    </w:p>
    <w:p>
      <w:pPr>
        <w:pStyle w:val="ListParagraph"/>
        <w:numPr>
          <w:ilvl w:val="0"/>
          <w:numId w:val="7"/>
        </w:numPr>
        <w:tabs>
          <w:tab w:pos="2319" w:val="left" w:leader="none"/>
          <w:tab w:pos="2320" w:val="left" w:leader="none"/>
        </w:tabs>
        <w:spacing w:line="240" w:lineRule="auto" w:before="396" w:after="0"/>
        <w:ind w:left="2320" w:right="0" w:hanging="1000"/>
        <w:jc w:val="left"/>
        <w:rPr>
          <w:sz w:val="44"/>
        </w:rPr>
      </w:pPr>
      <w:r>
        <w:rPr>
          <w:sz w:val="44"/>
        </w:rPr>
        <w:t>严禁在站内修车。</w:t>
      </w:r>
    </w:p>
    <w:p>
      <w:pPr>
        <w:pStyle w:val="ListParagraph"/>
        <w:numPr>
          <w:ilvl w:val="0"/>
          <w:numId w:val="7"/>
        </w:numPr>
        <w:tabs>
          <w:tab w:pos="2319" w:val="left" w:leader="none"/>
          <w:tab w:pos="2320" w:val="left" w:leader="none"/>
        </w:tabs>
        <w:spacing w:line="240" w:lineRule="auto" w:before="396" w:after="0"/>
        <w:ind w:left="2320" w:right="0" w:hanging="1000"/>
        <w:jc w:val="left"/>
        <w:rPr>
          <w:sz w:val="44"/>
        </w:rPr>
      </w:pPr>
      <w:r>
        <w:rPr>
          <w:sz w:val="44"/>
        </w:rPr>
        <w:t>严禁往塑料桶内直接灌装汽油。</w:t>
      </w:r>
    </w:p>
    <w:p>
      <w:pPr>
        <w:pStyle w:val="ListParagraph"/>
        <w:numPr>
          <w:ilvl w:val="0"/>
          <w:numId w:val="7"/>
        </w:numPr>
        <w:tabs>
          <w:tab w:pos="2319" w:val="left" w:leader="none"/>
          <w:tab w:pos="2320" w:val="left" w:leader="none"/>
        </w:tabs>
        <w:spacing w:line="240" w:lineRule="auto" w:before="417" w:after="0"/>
        <w:ind w:left="2320" w:right="0" w:hanging="1000"/>
        <w:jc w:val="left"/>
        <w:rPr>
          <w:sz w:val="44"/>
        </w:rPr>
      </w:pPr>
      <w:r>
        <w:rPr>
          <w:sz w:val="44"/>
        </w:rPr>
        <w:t>严禁在加油现场和油罐区使用通讯工具。</w:t>
      </w:r>
    </w:p>
    <w:p>
      <w:pPr>
        <w:pStyle w:val="ListParagraph"/>
        <w:numPr>
          <w:ilvl w:val="0"/>
          <w:numId w:val="7"/>
        </w:numPr>
        <w:tabs>
          <w:tab w:pos="1820" w:val="left" w:leader="none"/>
        </w:tabs>
        <w:spacing w:line="240" w:lineRule="auto" w:before="396" w:after="0"/>
        <w:ind w:left="160" w:right="0" w:firstLine="1160"/>
        <w:jc w:val="left"/>
        <w:rPr>
          <w:sz w:val="44"/>
        </w:rPr>
      </w:pPr>
      <w:r>
        <w:rPr>
          <w:sz w:val="44"/>
        </w:rPr>
        <w:t>严禁在强雷电时进行加油和卸油作业。</w:t>
      </w:r>
    </w:p>
    <w:p>
      <w:pPr>
        <w:pStyle w:val="ListParagraph"/>
        <w:numPr>
          <w:ilvl w:val="0"/>
          <w:numId w:val="7"/>
        </w:numPr>
        <w:tabs>
          <w:tab w:pos="2319" w:val="left" w:leader="none"/>
          <w:tab w:pos="2320" w:val="left" w:leader="none"/>
        </w:tabs>
        <w:spacing w:line="240" w:lineRule="auto" w:before="396" w:after="0"/>
        <w:ind w:left="2320" w:right="0" w:hanging="1000"/>
        <w:jc w:val="left"/>
        <w:rPr>
          <w:sz w:val="44"/>
        </w:rPr>
      </w:pPr>
      <w:r>
        <w:rPr>
          <w:sz w:val="44"/>
        </w:rPr>
        <w:t>严禁在加油站进行未办理动火手续的动火施工。</w:t>
      </w:r>
    </w:p>
    <w:p>
      <w:pPr>
        <w:pStyle w:val="ListParagraph"/>
        <w:numPr>
          <w:ilvl w:val="0"/>
          <w:numId w:val="7"/>
        </w:numPr>
        <w:tabs>
          <w:tab w:pos="2539" w:val="left" w:leader="none"/>
          <w:tab w:pos="2540" w:val="left" w:leader="none"/>
        </w:tabs>
        <w:spacing w:line="240" w:lineRule="auto" w:before="396" w:after="0"/>
        <w:ind w:left="2540" w:right="0" w:hanging="1220"/>
        <w:jc w:val="left"/>
        <w:rPr>
          <w:sz w:val="44"/>
        </w:rPr>
      </w:pPr>
      <w:r>
        <w:rPr>
          <w:sz w:val="44"/>
        </w:rPr>
        <w:t>严禁随意挪动消防器材。</w:t>
      </w:r>
    </w:p>
    <w:p>
      <w:pPr>
        <w:pStyle w:val="BodyText"/>
        <w:ind w:left="0"/>
        <w:rPr>
          <w:sz w:val="20"/>
        </w:rPr>
      </w:pPr>
    </w:p>
    <w:p>
      <w:pPr>
        <w:pStyle w:val="BodyText"/>
        <w:spacing w:before="200"/>
        <w:ind w:left="1320"/>
      </w:pPr>
      <w:r>
        <w:rPr/>
        <w:t>九、加油员安全操作规程</w:t>
      </w:r>
    </w:p>
    <w:p>
      <w:pPr>
        <w:pStyle w:val="ListParagraph"/>
        <w:numPr>
          <w:ilvl w:val="0"/>
          <w:numId w:val="8"/>
        </w:numPr>
        <w:tabs>
          <w:tab w:pos="1820" w:val="left" w:leader="none"/>
        </w:tabs>
        <w:spacing w:line="408" w:lineRule="auto" w:before="357" w:after="0"/>
        <w:ind w:left="160" w:right="279" w:firstLine="1160"/>
        <w:jc w:val="left"/>
        <w:rPr>
          <w:sz w:val="44"/>
        </w:rPr>
      </w:pPr>
      <w:r>
        <w:rPr>
          <w:spacing w:val="-5"/>
          <w:sz w:val="44"/>
        </w:rPr>
        <w:t>熟悉油品安全知识， 树立“安全第一” 的概念； 坚持“用户至上、服务至上、信誉至上”的思想；对用户主动、热情、耐</w:t>
      </w:r>
    </w:p>
    <w:p>
      <w:pPr>
        <w:pStyle w:val="BodyText"/>
        <w:spacing w:line="417" w:lineRule="auto" w:before="3"/>
        <w:ind w:right="1259"/>
      </w:pPr>
      <w:r>
        <w:rPr/>
        <w:t>心、周到，做到“唱收唱付”，“来有迎声，问有答声，走有送声”。</w:t>
      </w:r>
    </w:p>
    <w:p>
      <w:pPr>
        <w:pStyle w:val="ListParagraph"/>
        <w:numPr>
          <w:ilvl w:val="0"/>
          <w:numId w:val="8"/>
        </w:numPr>
        <w:tabs>
          <w:tab w:pos="1820" w:val="left" w:leader="none"/>
          <w:tab w:pos="9459" w:val="left" w:leader="none"/>
        </w:tabs>
        <w:spacing w:line="542" w:lineRule="exact" w:before="0" w:after="0"/>
        <w:ind w:left="160" w:right="0" w:firstLine="1160"/>
        <w:jc w:val="left"/>
        <w:rPr>
          <w:sz w:val="44"/>
        </w:rPr>
      </w:pPr>
      <w:r>
        <w:rPr>
          <w:sz w:val="44"/>
        </w:rPr>
        <w:t>严格遵守劳动纪律和各项规章制度，</w:t>
        <w:tab/>
        <w:t>上岗时按规定着装，</w:t>
      </w:r>
    </w:p>
    <w:p>
      <w:pPr>
        <w:pStyle w:val="BodyText"/>
        <w:spacing w:before="396"/>
      </w:pPr>
      <w:r>
        <w:rPr/>
        <w:t>不准私自离岗。</w:t>
      </w:r>
    </w:p>
    <w:p>
      <w:pPr>
        <w:spacing w:after="0"/>
        <w:sectPr>
          <w:pgSz w:w="19120" w:h="27060"/>
          <w:pgMar w:header="0" w:footer="2100" w:top="2400" w:bottom="2300" w:left="2700" w:right="2680"/>
        </w:sectPr>
      </w:pPr>
    </w:p>
    <w:p>
      <w:pPr>
        <w:pStyle w:val="BodyText"/>
        <w:spacing w:before="3"/>
        <w:ind w:left="0"/>
        <w:rPr>
          <w:sz w:val="17"/>
        </w:rPr>
      </w:pPr>
      <w:r>
        <w:rPr/>
        <w:drawing>
          <wp:anchor distT="0" distB="0" distL="0" distR="0" allowOverlap="1" layoutInCell="1" locked="0" behindDoc="1" simplePos="0" relativeHeight="268417127">
            <wp:simplePos x="0" y="0"/>
            <wp:positionH relativeFrom="page">
              <wp:posOffset>1811333</wp:posOffset>
            </wp:positionH>
            <wp:positionV relativeFrom="page">
              <wp:posOffset>1527100</wp:posOffset>
            </wp:positionV>
            <wp:extent cx="8511999" cy="13413999"/>
            <wp:effectExtent l="0" t="0" r="0" b="0"/>
            <wp:wrapNone/>
            <wp:docPr id="15" name="image5.png" descr=""/>
            <wp:cNvGraphicFramePr>
              <a:graphicFrameLocks noChangeAspect="1"/>
            </wp:cNvGraphicFramePr>
            <a:graphic>
              <a:graphicData uri="http://schemas.openxmlformats.org/drawingml/2006/picture">
                <pic:pic>
                  <pic:nvPicPr>
                    <pic:cNvPr id="16" name="image5.png"/>
                    <pic:cNvPicPr/>
                  </pic:nvPicPr>
                  <pic:blipFill>
                    <a:blip r:embed="rId10" cstate="print"/>
                    <a:stretch>
                      <a:fillRect/>
                    </a:stretch>
                  </pic:blipFill>
                  <pic:spPr>
                    <a:xfrm>
                      <a:off x="0" y="0"/>
                      <a:ext cx="8511999" cy="13413999"/>
                    </a:xfrm>
                    <a:prstGeom prst="rect">
                      <a:avLst/>
                    </a:prstGeom>
                  </pic:spPr>
                </pic:pic>
              </a:graphicData>
            </a:graphic>
          </wp:anchor>
        </w:drawing>
      </w:r>
    </w:p>
    <w:p>
      <w:pPr>
        <w:pStyle w:val="ListParagraph"/>
        <w:numPr>
          <w:ilvl w:val="0"/>
          <w:numId w:val="8"/>
        </w:numPr>
        <w:tabs>
          <w:tab w:pos="1820" w:val="left" w:leader="none"/>
        </w:tabs>
        <w:spacing w:line="408" w:lineRule="auto" w:before="59" w:after="0"/>
        <w:ind w:left="160" w:right="1359" w:firstLine="1160"/>
        <w:jc w:val="left"/>
        <w:rPr>
          <w:sz w:val="44"/>
        </w:rPr>
      </w:pPr>
      <w:r>
        <w:rPr>
          <w:sz w:val="44"/>
        </w:rPr>
        <w:t>熟悉掌握加油机操作要领，付出油品要足斤足两，不能克扣用户，没有正当手续不准赊欠油品。</w:t>
      </w:r>
    </w:p>
    <w:p>
      <w:pPr>
        <w:pStyle w:val="ListParagraph"/>
        <w:numPr>
          <w:ilvl w:val="0"/>
          <w:numId w:val="8"/>
        </w:numPr>
        <w:tabs>
          <w:tab w:pos="1820" w:val="left" w:leader="none"/>
        </w:tabs>
        <w:spacing w:line="408" w:lineRule="auto" w:before="3" w:after="0"/>
        <w:ind w:left="160" w:right="1359" w:firstLine="1160"/>
        <w:jc w:val="left"/>
        <w:rPr>
          <w:sz w:val="44"/>
        </w:rPr>
      </w:pPr>
      <w:r>
        <w:rPr>
          <w:sz w:val="44"/>
        </w:rPr>
        <w:t>严格执行《加油站现金票证管理制度》，对钱票证要妥善保管，丢失钱、票后果自负。</w:t>
      </w:r>
    </w:p>
    <w:p>
      <w:pPr>
        <w:pStyle w:val="ListParagraph"/>
        <w:numPr>
          <w:ilvl w:val="0"/>
          <w:numId w:val="8"/>
        </w:numPr>
        <w:tabs>
          <w:tab w:pos="1820" w:val="left" w:leader="none"/>
        </w:tabs>
        <w:spacing w:line="240" w:lineRule="auto" w:before="23" w:after="0"/>
        <w:ind w:left="160" w:right="0" w:firstLine="1160"/>
        <w:jc w:val="left"/>
        <w:rPr>
          <w:sz w:val="44"/>
        </w:rPr>
      </w:pPr>
      <w:r>
        <w:rPr>
          <w:sz w:val="44"/>
        </w:rPr>
        <w:t>交接班时要交接清楚、手续完备。</w:t>
      </w:r>
    </w:p>
    <w:p>
      <w:pPr>
        <w:pStyle w:val="ListParagraph"/>
        <w:numPr>
          <w:ilvl w:val="0"/>
          <w:numId w:val="8"/>
        </w:numPr>
        <w:tabs>
          <w:tab w:pos="1820" w:val="left" w:leader="none"/>
        </w:tabs>
        <w:spacing w:line="240" w:lineRule="auto" w:before="397" w:after="0"/>
        <w:ind w:left="160" w:right="0" w:firstLine="1160"/>
        <w:jc w:val="left"/>
        <w:rPr>
          <w:sz w:val="44"/>
        </w:rPr>
      </w:pPr>
      <w:r>
        <w:rPr>
          <w:sz w:val="44"/>
        </w:rPr>
        <w:t>付油场地，做到清洁、整齐、无油迹、无杂物。</w:t>
      </w:r>
    </w:p>
    <w:p>
      <w:pPr>
        <w:pStyle w:val="ListParagraph"/>
        <w:numPr>
          <w:ilvl w:val="0"/>
          <w:numId w:val="8"/>
        </w:numPr>
        <w:tabs>
          <w:tab w:pos="1820" w:val="left" w:leader="none"/>
        </w:tabs>
        <w:spacing w:line="424" w:lineRule="auto" w:before="396" w:after="0"/>
        <w:ind w:left="1320" w:right="3559" w:firstLine="0"/>
        <w:jc w:val="left"/>
        <w:rPr>
          <w:sz w:val="44"/>
        </w:rPr>
      </w:pPr>
      <w:r>
        <w:rPr>
          <w:sz w:val="44"/>
        </w:rPr>
        <w:t>高强闪电、雷击和雷击频繁时，停止加油。十、加油安全操作规程</w:t>
      </w:r>
    </w:p>
    <w:p>
      <w:pPr>
        <w:pStyle w:val="ListParagraph"/>
        <w:numPr>
          <w:ilvl w:val="0"/>
          <w:numId w:val="9"/>
        </w:numPr>
        <w:tabs>
          <w:tab w:pos="1820" w:val="left" w:leader="none"/>
        </w:tabs>
        <w:spacing w:line="508" w:lineRule="exact" w:before="0" w:after="0"/>
        <w:ind w:left="1820" w:right="0" w:hanging="500"/>
        <w:jc w:val="left"/>
        <w:rPr>
          <w:sz w:val="44"/>
        </w:rPr>
      </w:pPr>
      <w:r>
        <w:rPr>
          <w:sz w:val="44"/>
        </w:rPr>
        <w:t>准备</w:t>
      </w:r>
    </w:p>
    <w:p>
      <w:pPr>
        <w:pStyle w:val="ListParagraph"/>
        <w:numPr>
          <w:ilvl w:val="1"/>
          <w:numId w:val="9"/>
        </w:numPr>
        <w:tabs>
          <w:tab w:pos="2179" w:val="left" w:leader="none"/>
          <w:tab w:pos="2180" w:val="left" w:leader="none"/>
        </w:tabs>
        <w:spacing w:line="240" w:lineRule="auto" w:before="396" w:after="0"/>
        <w:ind w:left="160" w:right="0" w:firstLine="1160"/>
        <w:jc w:val="left"/>
        <w:rPr>
          <w:sz w:val="44"/>
        </w:rPr>
      </w:pPr>
      <w:r>
        <w:rPr>
          <w:sz w:val="44"/>
        </w:rPr>
        <w:t>当车辆驶入站时，加油员主动引导车辆进入加油位置。</w:t>
      </w:r>
    </w:p>
    <w:p>
      <w:pPr>
        <w:pStyle w:val="ListParagraph"/>
        <w:numPr>
          <w:ilvl w:val="1"/>
          <w:numId w:val="9"/>
        </w:numPr>
        <w:tabs>
          <w:tab w:pos="2179" w:val="left" w:leader="none"/>
          <w:tab w:pos="2180" w:val="left" w:leader="none"/>
        </w:tabs>
        <w:spacing w:line="417" w:lineRule="auto" w:before="396" w:after="0"/>
        <w:ind w:left="160" w:right="699" w:firstLine="1160"/>
        <w:jc w:val="left"/>
        <w:rPr>
          <w:sz w:val="44"/>
        </w:rPr>
      </w:pPr>
      <w:r>
        <w:rPr>
          <w:spacing w:val="-13"/>
          <w:sz w:val="44"/>
        </w:rPr>
        <w:t>车辆停稳， 发动机熄火后， 加油员应主动将油箱盖板油箱盖打开。（带锁的可等顾客开锁后再行打开）</w:t>
      </w:r>
    </w:p>
    <w:p>
      <w:pPr>
        <w:pStyle w:val="ListParagraph"/>
        <w:numPr>
          <w:ilvl w:val="1"/>
          <w:numId w:val="9"/>
        </w:numPr>
        <w:tabs>
          <w:tab w:pos="2179" w:val="left" w:leader="none"/>
          <w:tab w:pos="2180" w:val="left" w:leader="none"/>
        </w:tabs>
        <w:spacing w:line="542" w:lineRule="exact" w:before="0" w:after="0"/>
        <w:ind w:left="160" w:right="0" w:firstLine="1160"/>
        <w:jc w:val="left"/>
        <w:rPr>
          <w:sz w:val="44"/>
        </w:rPr>
      </w:pPr>
      <w:r>
        <w:rPr>
          <w:sz w:val="44"/>
        </w:rPr>
        <w:t>将加油机泵码回零，并请顾客确认。</w:t>
      </w:r>
    </w:p>
    <w:p>
      <w:pPr>
        <w:pStyle w:val="ListParagraph"/>
        <w:numPr>
          <w:ilvl w:val="0"/>
          <w:numId w:val="9"/>
        </w:numPr>
        <w:tabs>
          <w:tab w:pos="1820" w:val="left" w:leader="none"/>
        </w:tabs>
        <w:spacing w:line="240" w:lineRule="auto" w:before="397" w:after="0"/>
        <w:ind w:left="1820" w:right="0" w:hanging="500"/>
        <w:jc w:val="left"/>
        <w:rPr>
          <w:sz w:val="44"/>
        </w:rPr>
      </w:pPr>
      <w:r>
        <w:rPr>
          <w:sz w:val="44"/>
        </w:rPr>
        <w:t>加油</w:t>
      </w:r>
    </w:p>
    <w:p>
      <w:pPr>
        <w:pStyle w:val="ListParagraph"/>
        <w:numPr>
          <w:ilvl w:val="1"/>
          <w:numId w:val="9"/>
        </w:numPr>
        <w:tabs>
          <w:tab w:pos="2179" w:val="left" w:leader="none"/>
          <w:tab w:pos="2180" w:val="left" w:leader="none"/>
        </w:tabs>
        <w:spacing w:line="240" w:lineRule="auto" w:before="396" w:after="0"/>
        <w:ind w:left="2180" w:right="0" w:hanging="860"/>
        <w:jc w:val="left"/>
        <w:rPr>
          <w:sz w:val="44"/>
        </w:rPr>
      </w:pPr>
      <w:r>
        <w:rPr>
          <w:sz w:val="44"/>
        </w:rPr>
        <w:t>定量加油（微机加油）</w:t>
      </w:r>
    </w:p>
    <w:p>
      <w:pPr>
        <w:pStyle w:val="ListParagraph"/>
        <w:numPr>
          <w:ilvl w:val="2"/>
          <w:numId w:val="9"/>
        </w:numPr>
        <w:tabs>
          <w:tab w:pos="2659" w:val="left" w:leader="none"/>
          <w:tab w:pos="2660" w:val="left" w:leader="none"/>
        </w:tabs>
        <w:spacing w:line="240" w:lineRule="auto" w:before="416" w:after="0"/>
        <w:ind w:left="160" w:right="0" w:firstLine="1160"/>
        <w:jc w:val="left"/>
        <w:rPr>
          <w:sz w:val="44"/>
        </w:rPr>
      </w:pPr>
      <w:r>
        <w:rPr>
          <w:sz w:val="44"/>
        </w:rPr>
        <w:t>根据顾客要求输入加油数据。</w:t>
      </w:r>
    </w:p>
    <w:p>
      <w:pPr>
        <w:pStyle w:val="ListParagraph"/>
        <w:numPr>
          <w:ilvl w:val="2"/>
          <w:numId w:val="9"/>
        </w:numPr>
        <w:tabs>
          <w:tab w:pos="2659" w:val="left" w:leader="none"/>
          <w:tab w:pos="2660" w:val="left" w:leader="none"/>
        </w:tabs>
        <w:spacing w:line="408" w:lineRule="auto" w:before="396" w:after="0"/>
        <w:ind w:left="160" w:right="1399" w:firstLine="1160"/>
        <w:jc w:val="left"/>
        <w:rPr>
          <w:sz w:val="44"/>
        </w:rPr>
      </w:pPr>
      <w:r>
        <w:rPr>
          <w:sz w:val="44"/>
        </w:rPr>
        <w:t>根据顾客要求的油品将对应的加油枪插入车辆油箱中，明示顾客确认无误后打开加油枪进行加油。</w:t>
      </w:r>
    </w:p>
    <w:p>
      <w:pPr>
        <w:pStyle w:val="ListParagraph"/>
        <w:numPr>
          <w:ilvl w:val="2"/>
          <w:numId w:val="9"/>
        </w:numPr>
        <w:tabs>
          <w:tab w:pos="2659" w:val="left" w:leader="none"/>
          <w:tab w:pos="2660" w:val="left" w:leader="none"/>
        </w:tabs>
        <w:spacing w:line="417" w:lineRule="auto" w:before="4" w:after="0"/>
        <w:ind w:left="160" w:right="159" w:firstLine="1160"/>
        <w:jc w:val="left"/>
        <w:rPr>
          <w:sz w:val="44"/>
        </w:rPr>
      </w:pPr>
      <w:r>
        <w:rPr>
          <w:spacing w:val="-12"/>
          <w:sz w:val="44"/>
        </w:rPr>
        <w:t>加油完毕， 加油员须对照加油机 </w:t>
      </w:r>
      <w:r>
        <w:rPr>
          <w:sz w:val="44"/>
        </w:rPr>
        <w:t>（显示屏）</w:t>
      </w:r>
      <w:r>
        <w:rPr>
          <w:spacing w:val="-28"/>
          <w:sz w:val="44"/>
        </w:rPr>
        <w:t> 的显示值，请顾客确认所加品种、数量无误后，方可收回油枪。</w:t>
      </w:r>
    </w:p>
    <w:p>
      <w:pPr>
        <w:pStyle w:val="ListParagraph"/>
        <w:numPr>
          <w:ilvl w:val="2"/>
          <w:numId w:val="9"/>
        </w:numPr>
        <w:tabs>
          <w:tab w:pos="2659" w:val="left" w:leader="none"/>
          <w:tab w:pos="2660" w:val="left" w:leader="none"/>
        </w:tabs>
        <w:spacing w:line="542" w:lineRule="exact" w:before="0" w:after="0"/>
        <w:ind w:left="160" w:right="0" w:firstLine="1160"/>
        <w:jc w:val="left"/>
        <w:rPr>
          <w:sz w:val="44"/>
        </w:rPr>
      </w:pPr>
      <w:r>
        <w:rPr>
          <w:sz w:val="44"/>
        </w:rPr>
        <w:t>把油箱盖拧紧，关上油箱盖板。</w:t>
      </w:r>
    </w:p>
    <w:p>
      <w:pPr>
        <w:pStyle w:val="ListParagraph"/>
        <w:numPr>
          <w:ilvl w:val="1"/>
          <w:numId w:val="10"/>
        </w:numPr>
        <w:tabs>
          <w:tab w:pos="2179" w:val="left" w:leader="none"/>
          <w:tab w:pos="2180" w:val="left" w:leader="none"/>
        </w:tabs>
        <w:spacing w:line="240" w:lineRule="auto" w:before="396" w:after="0"/>
        <w:ind w:left="2180" w:right="0" w:hanging="860"/>
        <w:jc w:val="left"/>
        <w:rPr>
          <w:sz w:val="44"/>
        </w:rPr>
      </w:pPr>
      <w:r>
        <w:rPr>
          <w:sz w:val="44"/>
        </w:rPr>
        <w:t>非定量加油</w:t>
      </w:r>
    </w:p>
    <w:p>
      <w:pPr>
        <w:spacing w:after="0" w:line="240" w:lineRule="auto"/>
        <w:jc w:val="left"/>
        <w:rPr>
          <w:sz w:val="44"/>
        </w:rPr>
        <w:sectPr>
          <w:pgSz w:w="19120" w:h="27060"/>
          <w:pgMar w:header="0" w:footer="2100" w:top="2400" w:bottom="2300" w:left="2700" w:right="2680"/>
        </w:sectPr>
      </w:pPr>
    </w:p>
    <w:p>
      <w:pPr>
        <w:pStyle w:val="BodyText"/>
        <w:spacing w:before="3"/>
        <w:ind w:left="0"/>
        <w:rPr>
          <w:sz w:val="17"/>
        </w:rPr>
      </w:pPr>
      <w:r>
        <w:rPr/>
        <w:drawing>
          <wp:anchor distT="0" distB="0" distL="0" distR="0" allowOverlap="1" layoutInCell="1" locked="0" behindDoc="1" simplePos="0" relativeHeight="268417151">
            <wp:simplePos x="0" y="0"/>
            <wp:positionH relativeFrom="page">
              <wp:posOffset>1811333</wp:posOffset>
            </wp:positionH>
            <wp:positionV relativeFrom="page">
              <wp:posOffset>1527100</wp:posOffset>
            </wp:positionV>
            <wp:extent cx="8511999" cy="14021999"/>
            <wp:effectExtent l="0" t="0" r="0" b="0"/>
            <wp:wrapNone/>
            <wp:docPr id="17" name="image4.png" descr=""/>
            <wp:cNvGraphicFramePr>
              <a:graphicFrameLocks noChangeAspect="1"/>
            </wp:cNvGraphicFramePr>
            <a:graphic>
              <a:graphicData uri="http://schemas.openxmlformats.org/drawingml/2006/picture">
                <pic:pic>
                  <pic:nvPicPr>
                    <pic:cNvPr id="18" name="image4.png"/>
                    <pic:cNvPicPr/>
                  </pic:nvPicPr>
                  <pic:blipFill>
                    <a:blip r:embed="rId9" cstate="print"/>
                    <a:stretch>
                      <a:fillRect/>
                    </a:stretch>
                  </pic:blipFill>
                  <pic:spPr>
                    <a:xfrm>
                      <a:off x="0" y="0"/>
                      <a:ext cx="8511999" cy="14021999"/>
                    </a:xfrm>
                    <a:prstGeom prst="rect">
                      <a:avLst/>
                    </a:prstGeom>
                  </pic:spPr>
                </pic:pic>
              </a:graphicData>
            </a:graphic>
          </wp:anchor>
        </w:drawing>
      </w:r>
    </w:p>
    <w:p>
      <w:pPr>
        <w:pStyle w:val="ListParagraph"/>
        <w:numPr>
          <w:ilvl w:val="2"/>
          <w:numId w:val="10"/>
        </w:numPr>
        <w:tabs>
          <w:tab w:pos="2659" w:val="left" w:leader="none"/>
          <w:tab w:pos="2660" w:val="left" w:leader="none"/>
        </w:tabs>
        <w:spacing w:line="408" w:lineRule="auto" w:before="59" w:after="0"/>
        <w:ind w:left="160" w:right="519" w:firstLine="1160"/>
        <w:jc w:val="left"/>
        <w:rPr>
          <w:sz w:val="44"/>
        </w:rPr>
      </w:pPr>
      <w:r>
        <w:rPr>
          <w:spacing w:val="-10"/>
          <w:sz w:val="44"/>
        </w:rPr>
        <w:t>根据加油机 </w:t>
      </w:r>
      <w:r>
        <w:rPr>
          <w:sz w:val="44"/>
        </w:rPr>
        <w:t>（显示屏）</w:t>
      </w:r>
      <w:r>
        <w:rPr>
          <w:spacing w:val="-14"/>
          <w:sz w:val="44"/>
        </w:rPr>
        <w:t> 的显示值， 请顾客确认所加品种、数量无误后，方可收回油枪。</w:t>
      </w:r>
    </w:p>
    <w:p>
      <w:pPr>
        <w:pStyle w:val="ListParagraph"/>
        <w:numPr>
          <w:ilvl w:val="2"/>
          <w:numId w:val="10"/>
        </w:numPr>
        <w:tabs>
          <w:tab w:pos="2659" w:val="left" w:leader="none"/>
          <w:tab w:pos="2660" w:val="left" w:leader="none"/>
        </w:tabs>
        <w:spacing w:line="240" w:lineRule="auto" w:before="3" w:after="0"/>
        <w:ind w:left="160" w:right="0" w:firstLine="1160"/>
        <w:jc w:val="left"/>
        <w:rPr>
          <w:sz w:val="44"/>
        </w:rPr>
      </w:pPr>
      <w:r>
        <w:rPr>
          <w:sz w:val="44"/>
        </w:rPr>
        <w:t>把油箱盖拧紧，关上油箱盖板。</w:t>
      </w:r>
    </w:p>
    <w:p>
      <w:pPr>
        <w:pStyle w:val="ListParagraph"/>
        <w:numPr>
          <w:ilvl w:val="0"/>
          <w:numId w:val="9"/>
        </w:numPr>
        <w:tabs>
          <w:tab w:pos="1820" w:val="left" w:leader="none"/>
        </w:tabs>
        <w:spacing w:line="240" w:lineRule="auto" w:before="396" w:after="0"/>
        <w:ind w:left="1820" w:right="0" w:hanging="500"/>
        <w:jc w:val="left"/>
        <w:rPr>
          <w:sz w:val="44"/>
        </w:rPr>
      </w:pPr>
      <w:r>
        <w:rPr>
          <w:sz w:val="44"/>
        </w:rPr>
        <w:t>结算</w:t>
      </w:r>
    </w:p>
    <w:p>
      <w:pPr>
        <w:pStyle w:val="ListParagraph"/>
        <w:numPr>
          <w:ilvl w:val="1"/>
          <w:numId w:val="9"/>
        </w:numPr>
        <w:tabs>
          <w:tab w:pos="2179" w:val="left" w:leader="none"/>
          <w:tab w:pos="2180" w:val="left" w:leader="none"/>
          <w:tab w:pos="10659" w:val="left" w:leader="none"/>
        </w:tabs>
        <w:spacing w:line="408" w:lineRule="auto" w:before="417" w:after="0"/>
        <w:ind w:left="160" w:right="439" w:firstLine="1160"/>
        <w:jc w:val="left"/>
        <w:rPr>
          <w:sz w:val="44"/>
        </w:rPr>
      </w:pPr>
      <w:r>
        <w:rPr>
          <w:sz w:val="44"/>
        </w:rPr>
        <w:t>收取现金时，</w:t>
      </w:r>
      <w:r>
        <w:rPr>
          <w:spacing w:val="-60"/>
          <w:sz w:val="44"/>
        </w:rPr>
        <w:t> </w:t>
      </w:r>
      <w:r>
        <w:rPr>
          <w:sz w:val="44"/>
        </w:rPr>
        <w:t>加油员必须当面分辨真伪，</w:t>
        <w:tab/>
        <w:t>发现假钞应拒收，并及时报告站长处理。</w:t>
      </w:r>
    </w:p>
    <w:p>
      <w:pPr>
        <w:pStyle w:val="ListParagraph"/>
        <w:numPr>
          <w:ilvl w:val="1"/>
          <w:numId w:val="9"/>
        </w:numPr>
        <w:tabs>
          <w:tab w:pos="2179" w:val="left" w:leader="none"/>
          <w:tab w:pos="2180" w:val="left" w:leader="none"/>
        </w:tabs>
        <w:spacing w:line="240" w:lineRule="auto" w:before="3" w:after="0"/>
        <w:ind w:left="160" w:right="0" w:firstLine="1160"/>
        <w:jc w:val="left"/>
        <w:rPr>
          <w:sz w:val="44"/>
        </w:rPr>
      </w:pPr>
      <w:r>
        <w:rPr>
          <w:sz w:val="44"/>
        </w:rPr>
        <w:t>收取现金时，必须按时找零。</w:t>
      </w:r>
    </w:p>
    <w:p>
      <w:pPr>
        <w:pStyle w:val="ListParagraph"/>
        <w:numPr>
          <w:ilvl w:val="1"/>
          <w:numId w:val="9"/>
        </w:numPr>
        <w:tabs>
          <w:tab w:pos="2179" w:val="left" w:leader="none"/>
          <w:tab w:pos="2180" w:val="left" w:leader="none"/>
        </w:tabs>
        <w:spacing w:line="417" w:lineRule="auto" w:before="396" w:after="0"/>
        <w:ind w:left="160" w:right="759" w:firstLine="1160"/>
        <w:jc w:val="left"/>
        <w:rPr>
          <w:sz w:val="44"/>
        </w:rPr>
      </w:pPr>
      <w:r>
        <w:rPr>
          <w:sz w:val="44"/>
        </w:rPr>
        <w:t>收取定点加油记账卡时， 加油员与顾客双方共同签字确认，并收回本站留存记账卡。</w:t>
      </w:r>
    </w:p>
    <w:p>
      <w:pPr>
        <w:pStyle w:val="ListParagraph"/>
        <w:numPr>
          <w:ilvl w:val="0"/>
          <w:numId w:val="9"/>
        </w:numPr>
        <w:tabs>
          <w:tab w:pos="1820" w:val="left" w:leader="none"/>
        </w:tabs>
        <w:spacing w:line="542" w:lineRule="exact" w:before="0" w:after="0"/>
        <w:ind w:left="1820" w:right="0" w:hanging="500"/>
        <w:jc w:val="left"/>
        <w:rPr>
          <w:sz w:val="44"/>
        </w:rPr>
      </w:pPr>
      <w:r>
        <w:rPr>
          <w:sz w:val="44"/>
        </w:rPr>
        <w:t>清理</w:t>
      </w:r>
    </w:p>
    <w:p>
      <w:pPr>
        <w:pStyle w:val="ListParagraph"/>
        <w:numPr>
          <w:ilvl w:val="1"/>
          <w:numId w:val="9"/>
        </w:numPr>
        <w:tabs>
          <w:tab w:pos="2179" w:val="left" w:leader="none"/>
          <w:tab w:pos="2180" w:val="left" w:leader="none"/>
          <w:tab w:pos="8799" w:val="left" w:leader="none"/>
          <w:tab w:pos="12099" w:val="left" w:leader="none"/>
        </w:tabs>
        <w:spacing w:line="417" w:lineRule="auto" w:before="396" w:after="0"/>
        <w:ind w:left="160" w:right="319" w:firstLine="1160"/>
        <w:jc w:val="left"/>
        <w:rPr>
          <w:sz w:val="44"/>
        </w:rPr>
      </w:pPr>
      <w:r>
        <w:rPr>
          <w:sz w:val="44"/>
        </w:rPr>
        <w:t>当加油、</w:t>
      </w:r>
      <w:r>
        <w:rPr>
          <w:spacing w:val="-120"/>
          <w:sz w:val="44"/>
        </w:rPr>
        <w:t> </w:t>
      </w:r>
      <w:r>
        <w:rPr>
          <w:sz w:val="44"/>
        </w:rPr>
        <w:t>结算等道程序完成后，</w:t>
        <w:tab/>
        <w:t>使用文明用语，</w:t>
        <w:tab/>
        <w:t>及时引导车辆离开加油岛。</w:t>
      </w:r>
    </w:p>
    <w:p>
      <w:pPr>
        <w:pStyle w:val="ListParagraph"/>
        <w:numPr>
          <w:ilvl w:val="1"/>
          <w:numId w:val="9"/>
        </w:numPr>
        <w:tabs>
          <w:tab w:pos="2179" w:val="left" w:leader="none"/>
          <w:tab w:pos="2180" w:val="left" w:leader="none"/>
        </w:tabs>
        <w:spacing w:line="542" w:lineRule="exact" w:before="0" w:after="0"/>
        <w:ind w:left="160" w:right="0" w:firstLine="1160"/>
        <w:jc w:val="left"/>
        <w:rPr>
          <w:sz w:val="44"/>
        </w:rPr>
      </w:pPr>
      <w:r>
        <w:rPr>
          <w:sz w:val="44"/>
        </w:rPr>
        <w:t>当继续有车辆来站加油时，按上述程序进行加油操作。</w:t>
      </w:r>
    </w:p>
    <w:p>
      <w:pPr>
        <w:pStyle w:val="ListParagraph"/>
        <w:numPr>
          <w:ilvl w:val="1"/>
          <w:numId w:val="9"/>
        </w:numPr>
        <w:tabs>
          <w:tab w:pos="2179" w:val="left" w:leader="none"/>
          <w:tab w:pos="2180" w:val="left" w:leader="none"/>
          <w:tab w:pos="7859" w:val="left" w:leader="none"/>
        </w:tabs>
        <w:spacing w:line="408" w:lineRule="auto" w:before="397" w:after="0"/>
        <w:ind w:left="160" w:right="419" w:firstLine="1160"/>
        <w:jc w:val="left"/>
        <w:rPr>
          <w:sz w:val="44"/>
        </w:rPr>
      </w:pPr>
      <w:r>
        <w:rPr>
          <w:sz w:val="44"/>
        </w:rPr>
        <w:t>当暂时无车辆来站加油时，</w:t>
        <w:tab/>
        <w:t>清理手中现金、</w:t>
      </w:r>
      <w:r>
        <w:rPr>
          <w:spacing w:val="-40"/>
          <w:sz w:val="44"/>
        </w:rPr>
        <w:t> </w:t>
      </w:r>
      <w:r>
        <w:rPr>
          <w:sz w:val="44"/>
        </w:rPr>
        <w:t>记账卡及时上交银台，做好加油机及加油岛区域的卫生。</w:t>
      </w:r>
    </w:p>
    <w:p>
      <w:pPr>
        <w:pStyle w:val="BodyText"/>
        <w:spacing w:before="63"/>
        <w:ind w:left="1460"/>
      </w:pPr>
      <w:r>
        <w:rPr/>
        <w:t>十一、卸油安全操作规程</w:t>
      </w:r>
    </w:p>
    <w:p>
      <w:pPr>
        <w:pStyle w:val="ListParagraph"/>
        <w:numPr>
          <w:ilvl w:val="0"/>
          <w:numId w:val="11"/>
        </w:numPr>
        <w:tabs>
          <w:tab w:pos="1820" w:val="left" w:leader="none"/>
        </w:tabs>
        <w:spacing w:line="240" w:lineRule="auto" w:before="356" w:after="0"/>
        <w:ind w:left="160" w:right="0" w:firstLine="1160"/>
        <w:jc w:val="left"/>
        <w:rPr>
          <w:sz w:val="44"/>
        </w:rPr>
      </w:pPr>
      <w:r>
        <w:rPr>
          <w:sz w:val="44"/>
        </w:rPr>
        <w:t>核对卸油罐与罐车所装品种是否相符。</w:t>
      </w:r>
    </w:p>
    <w:p>
      <w:pPr>
        <w:pStyle w:val="ListParagraph"/>
        <w:numPr>
          <w:ilvl w:val="0"/>
          <w:numId w:val="11"/>
        </w:numPr>
        <w:tabs>
          <w:tab w:pos="1820" w:val="left" w:leader="none"/>
        </w:tabs>
        <w:spacing w:line="408" w:lineRule="auto" w:before="396" w:after="0"/>
        <w:ind w:left="160" w:right="1359" w:firstLine="1160"/>
        <w:jc w:val="left"/>
        <w:rPr>
          <w:sz w:val="44"/>
        </w:rPr>
      </w:pPr>
      <w:r>
        <w:rPr>
          <w:sz w:val="44"/>
        </w:rPr>
        <w:t>通过液位计或人工计量检测确认卸油罐的空容量，防止跑、冒油事故的发生。</w:t>
      </w:r>
    </w:p>
    <w:p>
      <w:pPr>
        <w:pStyle w:val="ListParagraph"/>
        <w:numPr>
          <w:ilvl w:val="0"/>
          <w:numId w:val="11"/>
        </w:numPr>
        <w:tabs>
          <w:tab w:pos="1820" w:val="left" w:leader="none"/>
        </w:tabs>
        <w:spacing w:line="408" w:lineRule="auto" w:before="24" w:after="0"/>
        <w:ind w:left="160" w:right="1359" w:firstLine="1160"/>
        <w:jc w:val="left"/>
        <w:rPr>
          <w:sz w:val="44"/>
        </w:rPr>
      </w:pPr>
      <w:r>
        <w:rPr>
          <w:sz w:val="44"/>
        </w:rPr>
        <w:t>按工艺流程要求连接卸油管，做到接头结合紧密，卸油管自然弯曲。</w:t>
      </w:r>
    </w:p>
    <w:p>
      <w:pPr>
        <w:pStyle w:val="ListParagraph"/>
        <w:numPr>
          <w:ilvl w:val="0"/>
          <w:numId w:val="11"/>
        </w:numPr>
        <w:tabs>
          <w:tab w:pos="1820" w:val="left" w:leader="none"/>
        </w:tabs>
        <w:spacing w:line="240" w:lineRule="auto" w:before="3" w:after="0"/>
        <w:ind w:left="160" w:right="0" w:firstLine="1160"/>
        <w:jc w:val="left"/>
        <w:rPr>
          <w:sz w:val="44"/>
        </w:rPr>
      </w:pPr>
      <w:r>
        <w:rPr>
          <w:sz w:val="44"/>
        </w:rPr>
        <w:t>接卸油品时，应暂停加油业务，接卸现场必须设专人监</w:t>
      </w:r>
    </w:p>
    <w:p>
      <w:pPr>
        <w:pStyle w:val="BodyText"/>
        <w:spacing w:before="6"/>
        <w:ind w:left="0"/>
        <w:rPr>
          <w:sz w:val="29"/>
        </w:rPr>
      </w:pPr>
    </w:p>
    <w:p>
      <w:pPr>
        <w:pStyle w:val="BodyText"/>
        <w:spacing w:before="39"/>
      </w:pPr>
      <w:r>
        <w:rPr/>
        <w:t>卸。</w:t>
      </w:r>
    </w:p>
    <w:p>
      <w:pPr>
        <w:spacing w:after="0"/>
        <w:sectPr>
          <w:pgSz w:w="19120" w:h="27060"/>
          <w:pgMar w:header="0" w:footer="2100" w:top="2400" w:bottom="2300" w:left="2700" w:right="2680"/>
        </w:sectPr>
      </w:pPr>
    </w:p>
    <w:p>
      <w:pPr>
        <w:pStyle w:val="BodyText"/>
        <w:ind w:left="152"/>
        <w:rPr>
          <w:sz w:val="20"/>
        </w:rPr>
      </w:pPr>
      <w:r>
        <w:rPr>
          <w:sz w:val="20"/>
        </w:rPr>
        <w:pict>
          <v:group style="width:670.25pt;height:384pt;mso-position-horizontal-relative:char;mso-position-vertical-relative:line" coordorigin="0,0" coordsize="13405,7680">
            <v:shape style="position:absolute;left:0;top:0;width:13405;height:7680" type="#_x0000_t75" stroked="false">
              <v:imagedata r:id="rId12" o:title=""/>
            </v:shape>
            <v:shape style="position:absolute;left:1167;top:336;width:11900;height:523" type="#_x0000_t202" filled="false" stroked="false">
              <v:textbox inset="0,0,0,0">
                <w:txbxContent>
                  <w:p>
                    <w:pPr>
                      <w:tabs>
                        <w:tab w:pos="5719" w:val="left" w:leader="none"/>
                      </w:tabs>
                      <w:spacing w:line="522" w:lineRule="exact" w:before="0"/>
                      <w:ind w:left="0" w:right="0" w:firstLine="0"/>
                      <w:jc w:val="left"/>
                      <w:rPr>
                        <w:sz w:val="44"/>
                      </w:rPr>
                    </w:pPr>
                    <w:r>
                      <w:rPr>
                        <w:rFonts w:ascii="Arial" w:eastAsia="Arial"/>
                        <w:sz w:val="44"/>
                      </w:rPr>
                      <w:t>5.</w:t>
                    </w:r>
                    <w:r>
                      <w:rPr>
                        <w:rFonts w:ascii="Arial" w:eastAsia="Arial"/>
                        <w:spacing w:val="7"/>
                        <w:sz w:val="44"/>
                      </w:rPr>
                      <w:t> </w:t>
                    </w:r>
                    <w:r>
                      <w:rPr>
                        <w:sz w:val="44"/>
                      </w:rPr>
                      <w:t>装卸人员不得擅离岗位，</w:t>
                      <w:tab/>
                      <w:t>严密注意输油管线和周围环境，</w:t>
                    </w:r>
                  </w:p>
                </w:txbxContent>
              </v:textbox>
              <w10:wrap type="none"/>
            </v:shape>
            <v:shape style="position:absolute;left:7;top:1316;width:5740;height:502" type="#_x0000_t202" filled="false" stroked="false">
              <v:textbox inset="0,0,0,0">
                <w:txbxContent>
                  <w:p>
                    <w:pPr>
                      <w:spacing w:line="502" w:lineRule="exact" w:before="0"/>
                      <w:ind w:left="0" w:right="0" w:firstLine="0"/>
                      <w:jc w:val="left"/>
                      <w:rPr>
                        <w:sz w:val="44"/>
                      </w:rPr>
                    </w:pPr>
                    <w:r>
                      <w:rPr>
                        <w:sz w:val="44"/>
                      </w:rPr>
                      <w:t>检查静电接地装置是否接好。</w:t>
                    </w:r>
                  </w:p>
                </w:txbxContent>
              </v:textbox>
              <w10:wrap type="none"/>
            </v:shape>
            <v:shape style="position:absolute;left:1167;top:2256;width:11080;height:523" type="#_x0000_t202" filled="false" stroked="false">
              <v:textbox inset="0,0,0,0">
                <w:txbxContent>
                  <w:p>
                    <w:pPr>
                      <w:spacing w:line="522" w:lineRule="exact" w:before="0"/>
                      <w:ind w:left="0" w:right="0" w:firstLine="0"/>
                      <w:jc w:val="left"/>
                      <w:rPr>
                        <w:sz w:val="44"/>
                      </w:rPr>
                    </w:pPr>
                    <w:r>
                      <w:rPr>
                        <w:rFonts w:ascii="Arial" w:eastAsia="Arial"/>
                        <w:sz w:val="44"/>
                      </w:rPr>
                      <w:t>6. </w:t>
                    </w:r>
                    <w:r>
                      <w:rPr>
                        <w:sz w:val="44"/>
                      </w:rPr>
                      <w:t>接卸油品时，开启罐盖时轻拿轻放，严禁摔打、撞击，</w:t>
                    </w:r>
                  </w:p>
                </w:txbxContent>
              </v:textbox>
              <w10:wrap type="none"/>
            </v:shape>
            <v:shape style="position:absolute;left:7;top:3236;width:5300;height:502" type="#_x0000_t202" filled="false" stroked="false">
              <v:textbox inset="0,0,0,0">
                <w:txbxContent>
                  <w:p>
                    <w:pPr>
                      <w:spacing w:line="502" w:lineRule="exact" w:before="0"/>
                      <w:ind w:left="0" w:right="0" w:firstLine="0"/>
                      <w:jc w:val="left"/>
                      <w:rPr>
                        <w:sz w:val="44"/>
                      </w:rPr>
                    </w:pPr>
                    <w:r>
                      <w:rPr>
                        <w:sz w:val="44"/>
                      </w:rPr>
                      <w:t>以防产生火花，发生意外。</w:t>
                    </w:r>
                  </w:p>
                </w:txbxContent>
              </v:textbox>
              <w10:wrap type="none"/>
            </v:shape>
            <v:shape style="position:absolute;left:1167;top:4196;width:11080;height:523" type="#_x0000_t202" filled="false" stroked="false">
              <v:textbox inset="0,0,0,0">
                <w:txbxContent>
                  <w:p>
                    <w:pPr>
                      <w:spacing w:line="522" w:lineRule="exact" w:before="0"/>
                      <w:ind w:left="0" w:right="0" w:firstLine="0"/>
                      <w:jc w:val="left"/>
                      <w:rPr>
                        <w:sz w:val="44"/>
                      </w:rPr>
                    </w:pPr>
                    <w:r>
                      <w:rPr>
                        <w:rFonts w:ascii="Arial" w:eastAsia="Arial"/>
                        <w:sz w:val="44"/>
                      </w:rPr>
                      <w:t>7. </w:t>
                    </w:r>
                    <w:r>
                      <w:rPr>
                        <w:sz w:val="44"/>
                      </w:rPr>
                      <w:t>严格按照程序准确开启输油管道阀门，以免发生混、跑</w:t>
                    </w:r>
                  </w:p>
                </w:txbxContent>
              </v:textbox>
              <w10:wrap type="none"/>
            </v:shape>
            <v:shape style="position:absolute;left:7;top:5176;width:1780;height:502" type="#_x0000_t202" filled="false" stroked="false">
              <v:textbox inset="0,0,0,0">
                <w:txbxContent>
                  <w:p>
                    <w:pPr>
                      <w:spacing w:line="502" w:lineRule="exact" w:before="0"/>
                      <w:ind w:left="0" w:right="0" w:firstLine="0"/>
                      <w:jc w:val="left"/>
                      <w:rPr>
                        <w:sz w:val="44"/>
                      </w:rPr>
                    </w:pPr>
                    <w:r>
                      <w:rPr>
                        <w:sz w:val="44"/>
                      </w:rPr>
                      <w:t>油事故。</w:t>
                    </w:r>
                  </w:p>
                </w:txbxContent>
              </v:textbox>
              <w10:wrap type="none"/>
            </v:shape>
            <v:shape style="position:absolute;left:1167;top:6116;width:6680;height:523" type="#_x0000_t202" filled="false" stroked="false">
              <v:textbox inset="0,0,0,0">
                <w:txbxContent>
                  <w:p>
                    <w:pPr>
                      <w:spacing w:line="522" w:lineRule="exact" w:before="0"/>
                      <w:ind w:left="0" w:right="0" w:firstLine="0"/>
                      <w:jc w:val="left"/>
                      <w:rPr>
                        <w:sz w:val="44"/>
                      </w:rPr>
                    </w:pPr>
                    <w:r>
                      <w:rPr>
                        <w:rFonts w:ascii="Arial" w:eastAsia="Arial"/>
                        <w:sz w:val="44"/>
                      </w:rPr>
                      <w:t>8. </w:t>
                    </w:r>
                    <w:r>
                      <w:rPr>
                        <w:sz w:val="44"/>
                      </w:rPr>
                      <w:t>卸油过程中严禁测量，卸油完毕</w:t>
                    </w:r>
                  </w:p>
                </w:txbxContent>
              </v:textbox>
              <w10:wrap type="none"/>
            </v:shape>
            <v:shape style="position:absolute;left:8547;top:6116;width:4320;height:523" type="#_x0000_t202" filled="false" stroked="false">
              <v:textbox inset="0,0,0,0">
                <w:txbxContent>
                  <w:p>
                    <w:pPr>
                      <w:spacing w:line="522" w:lineRule="exact" w:before="0"/>
                      <w:ind w:left="0" w:right="0" w:firstLine="0"/>
                      <w:jc w:val="left"/>
                      <w:rPr>
                        <w:sz w:val="44"/>
                      </w:rPr>
                    </w:pPr>
                    <w:r>
                      <w:rPr>
                        <w:rFonts w:ascii="Arial" w:eastAsia="Arial"/>
                        <w:sz w:val="44"/>
                      </w:rPr>
                      <w:t>5</w:t>
                    </w:r>
                    <w:r>
                      <w:rPr>
                        <w:rFonts w:ascii="Arial" w:eastAsia="Arial"/>
                        <w:spacing w:val="-27"/>
                        <w:sz w:val="44"/>
                      </w:rPr>
                      <w:t> </w:t>
                    </w:r>
                    <w:r>
                      <w:rPr>
                        <w:sz w:val="44"/>
                      </w:rPr>
                      <w:t>分钟后，方可进行测</w:t>
                    </w:r>
                  </w:p>
                </w:txbxContent>
              </v:textbox>
              <w10:wrap type="none"/>
            </v:shape>
            <v:shape style="position:absolute;left:7;top:7096;width:900;height:502" type="#_x0000_t202" filled="false" stroked="false">
              <v:textbox inset="0,0,0,0">
                <w:txbxContent>
                  <w:p>
                    <w:pPr>
                      <w:spacing w:line="502" w:lineRule="exact" w:before="0"/>
                      <w:ind w:left="0" w:right="0" w:firstLine="0"/>
                      <w:jc w:val="left"/>
                      <w:rPr>
                        <w:sz w:val="44"/>
                      </w:rPr>
                    </w:pPr>
                    <w:r>
                      <w:rPr>
                        <w:sz w:val="44"/>
                      </w:rPr>
                      <w:t>量。</w:t>
                    </w:r>
                  </w:p>
                </w:txbxContent>
              </v:textbox>
              <w10:wrap type="none"/>
            </v:shape>
          </v:group>
        </w:pict>
      </w:r>
      <w:r>
        <w:rPr>
          <w:sz w:val="20"/>
        </w:rPr>
      </w:r>
    </w:p>
    <w:p>
      <w:pPr>
        <w:spacing w:after="0"/>
        <w:rPr>
          <w:sz w:val="20"/>
        </w:rPr>
        <w:sectPr>
          <w:pgSz w:w="19120" w:h="27060"/>
          <w:pgMar w:header="0" w:footer="2100" w:top="2380" w:bottom="2300" w:left="2700" w:right="2680"/>
        </w:sectPr>
      </w:pPr>
    </w:p>
    <w:p>
      <w:pPr>
        <w:pStyle w:val="BodyText"/>
        <w:ind w:left="0"/>
        <w:rPr>
          <w:sz w:val="20"/>
        </w:rPr>
      </w:pPr>
    </w:p>
    <w:p>
      <w:pPr>
        <w:pStyle w:val="BodyText"/>
        <w:ind w:left="0"/>
        <w:rPr>
          <w:sz w:val="20"/>
        </w:rPr>
      </w:pPr>
    </w:p>
    <w:p>
      <w:pPr>
        <w:pStyle w:val="BodyText"/>
        <w:spacing w:before="5"/>
        <w:ind w:left="0"/>
        <w:rPr>
          <w:sz w:val="29"/>
        </w:rPr>
      </w:pPr>
    </w:p>
    <w:p>
      <w:pPr>
        <w:pStyle w:val="Heading1"/>
        <w:spacing w:before="11"/>
        <w:ind w:left="2960"/>
      </w:pPr>
      <w:r>
        <w:rPr/>
        <w:t>职业病危害防治管理制度</w:t>
      </w:r>
    </w:p>
    <w:p>
      <w:pPr>
        <w:pStyle w:val="BodyText"/>
        <w:spacing w:before="1"/>
        <w:ind w:left="0"/>
        <w:rPr>
          <w:sz w:val="92"/>
        </w:rPr>
      </w:pPr>
    </w:p>
    <w:p>
      <w:pPr>
        <w:pStyle w:val="Heading2"/>
        <w:ind w:left="1640"/>
      </w:pPr>
      <w:r>
        <w:rPr/>
        <w:t>第一、用人单位职业病危害防治八条规定</w:t>
      </w:r>
    </w:p>
    <w:p>
      <w:pPr>
        <w:pStyle w:val="BodyText"/>
        <w:ind w:left="0"/>
        <w:rPr>
          <w:sz w:val="62"/>
        </w:rPr>
      </w:pPr>
    </w:p>
    <w:p>
      <w:pPr>
        <w:pStyle w:val="BodyText"/>
        <w:tabs>
          <w:tab w:pos="10159" w:val="left" w:leader="none"/>
        </w:tabs>
        <w:spacing w:line="408" w:lineRule="auto" w:before="494"/>
        <w:ind w:right="499" w:firstLine="980"/>
      </w:pPr>
      <w:r>
        <w:rPr/>
        <w:t>一</w:t>
      </w:r>
      <w:r>
        <w:rPr>
          <w:spacing w:val="20"/>
        </w:rPr>
        <w:t>、</w:t>
      </w:r>
      <w:r>
        <w:rPr/>
        <w:t>必须建立健全职业病危害防治责任制，</w:t>
        <w:tab/>
        <w:t>严禁责任不落实违法违规生产。</w:t>
      </w:r>
    </w:p>
    <w:p>
      <w:pPr>
        <w:pStyle w:val="BodyText"/>
        <w:tabs>
          <w:tab w:pos="10159" w:val="left" w:leader="none"/>
        </w:tabs>
        <w:spacing w:line="417" w:lineRule="auto" w:before="3"/>
        <w:ind w:right="499" w:firstLine="980"/>
      </w:pPr>
      <w:r>
        <w:rPr/>
        <w:t>二</w:t>
      </w:r>
      <w:r>
        <w:rPr>
          <w:spacing w:val="20"/>
        </w:rPr>
        <w:t>、</w:t>
      </w:r>
      <w:r>
        <w:rPr/>
        <w:t>必须保证工作场所符合职业卫生要求，</w:t>
        <w:tab/>
        <w:t>严禁在职业病危害超标环境中作业。</w:t>
      </w:r>
    </w:p>
    <w:p>
      <w:pPr>
        <w:pStyle w:val="BodyText"/>
        <w:tabs>
          <w:tab w:pos="11119" w:val="left" w:leader="none"/>
        </w:tabs>
        <w:spacing w:line="542" w:lineRule="exact"/>
        <w:ind w:left="1140"/>
      </w:pPr>
      <w:r>
        <w:rPr/>
        <w:t>三</w:t>
      </w:r>
      <w:r>
        <w:rPr>
          <w:spacing w:val="20"/>
        </w:rPr>
        <w:t>、</w:t>
      </w:r>
      <w:r>
        <w:rPr/>
        <w:t>必须设置职业病防护设施并保证有效运行，</w:t>
        <w:tab/>
        <w:t>严禁不设置</w:t>
      </w:r>
    </w:p>
    <w:p>
      <w:pPr>
        <w:pStyle w:val="BodyText"/>
        <w:spacing w:before="396"/>
      </w:pPr>
      <w:r>
        <w:rPr/>
        <w:t>不使用。</w:t>
      </w:r>
    </w:p>
    <w:p>
      <w:pPr>
        <w:pStyle w:val="BodyText"/>
        <w:tabs>
          <w:tab w:pos="10659" w:val="left" w:leader="none"/>
        </w:tabs>
        <w:spacing w:line="408" w:lineRule="auto" w:before="416"/>
        <w:ind w:right="439" w:firstLine="980"/>
      </w:pPr>
      <w:r>
        <w:rPr/>
        <w:t>四</w:t>
      </w:r>
      <w:r>
        <w:rPr>
          <w:spacing w:val="20"/>
        </w:rPr>
        <w:t>、</w:t>
      </w:r>
      <w:r>
        <w:rPr/>
        <w:t>必须为劳动者配备符合要求的防护用品，</w:t>
        <w:tab/>
        <w:t>严禁配发假冒伪劣防护用品。</w:t>
      </w:r>
    </w:p>
    <w:p>
      <w:pPr>
        <w:pStyle w:val="BodyText"/>
        <w:tabs>
          <w:tab w:pos="13059" w:val="left" w:leader="none"/>
        </w:tabs>
        <w:spacing w:line="408" w:lineRule="auto" w:before="4"/>
        <w:ind w:right="239" w:firstLine="980"/>
      </w:pPr>
      <w:r>
        <w:rPr/>
        <w:t>五</w:t>
      </w:r>
      <w:r>
        <w:rPr>
          <w:spacing w:val="20"/>
        </w:rPr>
        <w:t>、</w:t>
      </w:r>
      <w:r>
        <w:rPr/>
        <w:t>必须在工作场所与作业岗位设置警示标识和告知卡，</w:t>
        <w:tab/>
        <w:t>严禁隐瞒职业病危害。</w:t>
      </w:r>
    </w:p>
    <w:p>
      <w:pPr>
        <w:pStyle w:val="BodyText"/>
        <w:tabs>
          <w:tab w:pos="8719" w:val="left" w:leader="none"/>
        </w:tabs>
        <w:spacing w:before="23"/>
        <w:ind w:left="1140"/>
      </w:pPr>
      <w:r>
        <w:rPr/>
        <w:t>六</w:t>
      </w:r>
      <w:r>
        <w:rPr>
          <w:spacing w:val="20"/>
        </w:rPr>
        <w:t>、</w:t>
      </w:r>
      <w:r>
        <w:rPr/>
        <w:t>必须定期进行职业病危害检测，</w:t>
        <w:tab/>
        <w:t>严禁弄虚作假或少检漏</w:t>
      </w:r>
    </w:p>
    <w:p>
      <w:pPr>
        <w:pStyle w:val="BodyText"/>
        <w:spacing w:before="12"/>
        <w:ind w:left="0"/>
        <w:rPr>
          <w:sz w:val="27"/>
        </w:rPr>
      </w:pPr>
    </w:p>
    <w:p>
      <w:pPr>
        <w:pStyle w:val="BodyText"/>
        <w:spacing w:before="38"/>
      </w:pPr>
      <w:r>
        <w:rPr/>
        <w:t>检。</w:t>
      </w:r>
    </w:p>
    <w:p>
      <w:pPr>
        <w:pStyle w:val="BodyText"/>
        <w:tabs>
          <w:tab w:pos="9199" w:val="left" w:leader="none"/>
        </w:tabs>
        <w:spacing w:before="396"/>
        <w:ind w:left="1140"/>
      </w:pPr>
      <w:r>
        <w:rPr/>
        <w:t>七</w:t>
      </w:r>
      <w:r>
        <w:rPr>
          <w:spacing w:val="20"/>
        </w:rPr>
        <w:t>、</w:t>
      </w:r>
      <w:r>
        <w:rPr/>
        <w:t>必须对劳动者进行职业卫生培训，</w:t>
        <w:tab/>
        <w:t>严禁不培训或培训不</w:t>
      </w:r>
    </w:p>
    <w:p>
      <w:pPr>
        <w:pStyle w:val="BodyText"/>
        <w:ind w:left="0"/>
        <w:rPr>
          <w:sz w:val="28"/>
        </w:rPr>
      </w:pPr>
    </w:p>
    <w:p>
      <w:pPr>
        <w:pStyle w:val="BodyText"/>
        <w:spacing w:before="38"/>
      </w:pPr>
      <w:r>
        <w:rPr/>
        <w:t>合格上岗。</w:t>
      </w:r>
    </w:p>
    <w:p>
      <w:pPr>
        <w:pStyle w:val="BodyText"/>
        <w:tabs>
          <w:tab w:pos="12099" w:val="left" w:leader="none"/>
        </w:tabs>
        <w:spacing w:line="408" w:lineRule="auto" w:before="416"/>
        <w:ind w:right="319" w:firstLine="980"/>
      </w:pPr>
      <w:r>
        <w:rPr/>
        <w:t>八</w:t>
      </w:r>
      <w:r>
        <w:rPr>
          <w:spacing w:val="20"/>
        </w:rPr>
        <w:t>、</w:t>
      </w:r>
      <w:r>
        <w:rPr/>
        <w:t>必须组织劳动者职业健康检查并建立监护档案，</w:t>
        <w:tab/>
        <w:t>严禁不体检不建档。</w:t>
      </w:r>
    </w:p>
    <w:p>
      <w:pPr>
        <w:spacing w:after="0" w:line="408" w:lineRule="auto"/>
        <w:sectPr>
          <w:pgSz w:w="19120" w:h="27060"/>
          <w:pgMar w:header="0" w:footer="2100" w:top="2620" w:bottom="2300" w:left="2700" w:right="2680"/>
        </w:sectPr>
      </w:pPr>
    </w:p>
    <w:p>
      <w:pPr>
        <w:pStyle w:val="BodyText"/>
        <w:ind w:left="0"/>
        <w:rPr>
          <w:sz w:val="20"/>
        </w:rPr>
      </w:pPr>
    </w:p>
    <w:p>
      <w:pPr>
        <w:pStyle w:val="BodyText"/>
        <w:ind w:left="0"/>
        <w:rPr>
          <w:sz w:val="20"/>
        </w:rPr>
      </w:pPr>
    </w:p>
    <w:p>
      <w:pPr>
        <w:pStyle w:val="BodyText"/>
        <w:ind w:left="0"/>
        <w:rPr>
          <w:sz w:val="20"/>
        </w:rPr>
      </w:pPr>
    </w:p>
    <w:p>
      <w:pPr>
        <w:pStyle w:val="BodyText"/>
        <w:spacing w:before="7"/>
        <w:ind w:left="0"/>
        <w:rPr>
          <w:sz w:val="14"/>
        </w:rPr>
      </w:pPr>
    </w:p>
    <w:p>
      <w:pPr>
        <w:pStyle w:val="Heading2"/>
        <w:spacing w:before="25"/>
        <w:ind w:right="629"/>
        <w:jc w:val="center"/>
      </w:pPr>
      <w:r>
        <w:rPr/>
        <w:t>第二、职业病危害管理责任制度</w:t>
      </w:r>
    </w:p>
    <w:p>
      <w:pPr>
        <w:pStyle w:val="BodyText"/>
        <w:ind w:left="0"/>
        <w:rPr>
          <w:sz w:val="62"/>
        </w:rPr>
      </w:pPr>
    </w:p>
    <w:p>
      <w:pPr>
        <w:pStyle w:val="BodyText"/>
        <w:spacing w:before="513"/>
        <w:ind w:left="1140"/>
      </w:pPr>
      <w:r>
        <w:rPr/>
        <w:t>一、职业危害防治责任制度</w:t>
      </w:r>
    </w:p>
    <w:p>
      <w:pPr>
        <w:pStyle w:val="BodyText"/>
        <w:spacing w:before="377"/>
        <w:ind w:left="900"/>
      </w:pPr>
      <w:r>
        <w:rPr/>
        <w:t>（一）主要负责人责任制</w:t>
      </w:r>
    </w:p>
    <w:p>
      <w:pPr>
        <w:pStyle w:val="BodyText"/>
        <w:spacing w:before="436"/>
        <w:ind w:left="1140"/>
      </w:pPr>
      <w:r>
        <w:rPr>
          <w:rFonts w:ascii="Arial" w:eastAsia="Arial"/>
        </w:rPr>
        <w:t>1.</w:t>
      </w:r>
      <w:r>
        <w:rPr/>
        <w:t>设立职业危害管理机构，并提供人力资源；</w:t>
      </w:r>
    </w:p>
    <w:p>
      <w:pPr>
        <w:pStyle w:val="BodyText"/>
        <w:spacing w:before="396"/>
        <w:ind w:left="1140"/>
      </w:pPr>
      <w:r>
        <w:rPr>
          <w:rFonts w:ascii="Arial" w:eastAsia="Arial"/>
        </w:rPr>
        <w:t>2.</w:t>
      </w:r>
      <w:r>
        <w:rPr/>
        <w:t>定期召开职业健康工作会议，研究解决存在的问题；</w:t>
      </w:r>
    </w:p>
    <w:p>
      <w:pPr>
        <w:pStyle w:val="BodyText"/>
        <w:spacing w:line="400" w:lineRule="auto" w:before="396"/>
        <w:ind w:right="1196" w:firstLine="980"/>
      </w:pPr>
      <w:r>
        <w:rPr>
          <w:rFonts w:ascii="Arial" w:eastAsia="Arial"/>
        </w:rPr>
        <w:t>3.</w:t>
      </w:r>
      <w:r>
        <w:rPr/>
        <w:t>组织建立、健全本单位职业危害防治责任制、规章制度和操作规程；</w:t>
      </w:r>
    </w:p>
    <w:p>
      <w:pPr>
        <w:pStyle w:val="BodyText"/>
        <w:spacing w:line="391" w:lineRule="auto" w:before="57"/>
        <w:ind w:right="1196" w:firstLine="980"/>
      </w:pPr>
      <w:r>
        <w:rPr>
          <w:rFonts w:ascii="Arial" w:eastAsia="Arial"/>
        </w:rPr>
        <w:t>4.</w:t>
      </w:r>
      <w:r>
        <w:rPr/>
        <w:t>督促、检查本单位的职业危害防治工作，及时消除职业危害事故隐患；</w:t>
      </w:r>
    </w:p>
    <w:p>
      <w:pPr>
        <w:pStyle w:val="BodyText"/>
        <w:spacing w:before="103"/>
        <w:ind w:left="1140"/>
      </w:pPr>
      <w:r>
        <w:rPr>
          <w:rFonts w:ascii="Arial" w:eastAsia="Arial"/>
        </w:rPr>
        <w:t>5.</w:t>
      </w:r>
      <w:r>
        <w:rPr/>
        <w:t>保证本单位职业危害防治投入的有效实施；</w:t>
      </w:r>
    </w:p>
    <w:p>
      <w:pPr>
        <w:pStyle w:val="BodyText"/>
        <w:spacing w:before="396"/>
        <w:ind w:left="1140"/>
      </w:pPr>
      <w:r>
        <w:rPr>
          <w:rFonts w:ascii="Arial" w:eastAsia="Arial"/>
        </w:rPr>
        <w:t>6.</w:t>
      </w:r>
      <w:r>
        <w:rPr/>
        <w:t>组织建立并实施本单位的职业危害事故应急救援预案；</w:t>
      </w:r>
    </w:p>
    <w:p>
      <w:pPr>
        <w:pStyle w:val="BodyText"/>
        <w:spacing w:before="396"/>
        <w:ind w:left="1140"/>
      </w:pPr>
      <w:r>
        <w:rPr>
          <w:rFonts w:ascii="Arial" w:eastAsia="Arial"/>
        </w:rPr>
        <w:t>7.</w:t>
      </w:r>
      <w:r>
        <w:rPr/>
        <w:t>及时、如实报告职业危害事故。</w:t>
      </w:r>
    </w:p>
    <w:p>
      <w:pPr>
        <w:pStyle w:val="BodyText"/>
        <w:spacing w:before="356"/>
        <w:ind w:left="1140"/>
      </w:pPr>
      <w:r>
        <w:rPr/>
        <w:t>（二）主管职业危害负责人责任制</w:t>
      </w:r>
    </w:p>
    <w:p>
      <w:pPr>
        <w:pStyle w:val="BodyText"/>
        <w:spacing w:before="8"/>
        <w:ind w:left="0"/>
        <w:rPr>
          <w:sz w:val="35"/>
        </w:rPr>
      </w:pPr>
    </w:p>
    <w:p>
      <w:pPr>
        <w:pStyle w:val="BodyText"/>
        <w:ind w:left="1140"/>
      </w:pPr>
      <w:r>
        <w:rPr>
          <w:rFonts w:ascii="Arial" w:eastAsia="Arial"/>
        </w:rPr>
        <w:t>1.</w:t>
      </w:r>
      <w:r>
        <w:rPr/>
        <w:t>明确在本企业职业危害防治管理工作中的具体职责；</w:t>
      </w:r>
    </w:p>
    <w:p>
      <w:pPr>
        <w:pStyle w:val="BodyText"/>
        <w:spacing w:before="396"/>
        <w:ind w:left="1140"/>
      </w:pPr>
      <w:r>
        <w:rPr>
          <w:rFonts w:ascii="Arial" w:eastAsia="Arial"/>
        </w:rPr>
        <w:t>2.</w:t>
      </w:r>
      <w:r>
        <w:rPr/>
        <w:t>组织职业危害防治检查及落实职业危害因素整改；</w:t>
      </w:r>
    </w:p>
    <w:p>
      <w:pPr>
        <w:pStyle w:val="BodyText"/>
        <w:spacing w:line="391" w:lineRule="auto" w:before="397"/>
        <w:ind w:right="1196" w:firstLine="980"/>
      </w:pPr>
      <w:r>
        <w:rPr>
          <w:rFonts w:ascii="Arial" w:eastAsia="Arial"/>
        </w:rPr>
        <w:t>3.</w:t>
      </w:r>
      <w:r>
        <w:rPr/>
        <w:t>组织制定、修订和审定各项职业危害防治管理制度，并检查其执行情况；</w:t>
      </w:r>
    </w:p>
    <w:p>
      <w:pPr>
        <w:pStyle w:val="BodyText"/>
        <w:spacing w:before="102"/>
        <w:ind w:left="1140"/>
      </w:pPr>
      <w:r>
        <w:rPr>
          <w:rFonts w:ascii="Arial" w:eastAsia="Arial"/>
        </w:rPr>
        <w:t>4.</w:t>
      </w:r>
      <w:r>
        <w:rPr/>
        <w:t>明确在职业危害事故应急救援预案中的组织、实施责任。</w:t>
      </w:r>
    </w:p>
    <w:p>
      <w:pPr>
        <w:pStyle w:val="BodyText"/>
        <w:spacing w:before="356"/>
        <w:ind w:left="1140"/>
      </w:pPr>
      <w:r>
        <w:rPr/>
        <w:t>（三）专职职业危害管理人员职业危害防治责任制</w:t>
      </w:r>
    </w:p>
    <w:p>
      <w:pPr>
        <w:pStyle w:val="BodyText"/>
        <w:spacing w:before="436"/>
        <w:ind w:left="1140"/>
      </w:pPr>
      <w:r>
        <w:rPr>
          <w:rFonts w:ascii="Arial" w:eastAsia="Arial"/>
        </w:rPr>
        <w:t>1.</w:t>
      </w:r>
      <w:r>
        <w:rPr/>
        <w:t>贯彻执行有关职业危害防治的法规、制度和标准；</w:t>
      </w:r>
    </w:p>
    <w:p>
      <w:pPr>
        <w:pStyle w:val="BodyText"/>
        <w:spacing w:before="417"/>
        <w:ind w:left="1140"/>
      </w:pPr>
      <w:r>
        <w:rPr>
          <w:rFonts w:ascii="Arial" w:eastAsia="Arial"/>
        </w:rPr>
        <w:t>2.</w:t>
      </w:r>
      <w:r>
        <w:rPr/>
        <w:t>负责日常职业危害防治的监督、检查、技术管理、教育以</w:t>
      </w:r>
    </w:p>
    <w:p>
      <w:pPr>
        <w:spacing w:after="0"/>
        <w:sectPr>
          <w:pgSz w:w="19120" w:h="27060"/>
          <w:pgMar w:header="0" w:footer="2100" w:top="2620" w:bottom="2300" w:left="2700" w:right="2680"/>
        </w:sectPr>
      </w:pPr>
    </w:p>
    <w:p>
      <w:pPr>
        <w:pStyle w:val="BodyText"/>
        <w:spacing w:before="60"/>
      </w:pPr>
      <w:r>
        <w:rPr/>
        <w:t>及职业危害事故的调查组织、统计、上报和建档工作。</w:t>
      </w:r>
    </w:p>
    <w:p>
      <w:pPr>
        <w:pStyle w:val="BodyText"/>
        <w:spacing w:before="396"/>
        <w:ind w:left="1140"/>
      </w:pPr>
      <w:r>
        <w:rPr/>
        <w:t>（四）职业危害岗位防治责任制</w:t>
      </w:r>
    </w:p>
    <w:p>
      <w:pPr>
        <w:pStyle w:val="BodyText"/>
        <w:spacing w:before="436"/>
        <w:ind w:left="1140"/>
      </w:pPr>
      <w:r>
        <w:rPr>
          <w:rFonts w:ascii="Arial" w:eastAsia="Arial"/>
        </w:rPr>
        <w:t>1.</w:t>
      </w:r>
      <w:r>
        <w:rPr/>
        <w:t>参加职业危害防治培训教育和活动、学习职业危害防治技</w:t>
      </w:r>
    </w:p>
    <w:p>
      <w:pPr>
        <w:pStyle w:val="BodyText"/>
        <w:tabs>
          <w:tab w:pos="11619" w:val="left" w:leader="none"/>
        </w:tabs>
        <w:spacing w:line="417" w:lineRule="auto" w:before="356"/>
        <w:ind w:right="359"/>
      </w:pPr>
      <w:r>
        <w:rPr/>
        <w:t>术知识，</w:t>
      </w:r>
      <w:r>
        <w:rPr>
          <w:spacing w:val="-100"/>
        </w:rPr>
        <w:t> </w:t>
      </w:r>
      <w:r>
        <w:rPr/>
        <w:t>遵守各项职业危害防治规章制度和操作规程，</w:t>
        <w:tab/>
        <w:t>发现隐患及时报告；</w:t>
      </w:r>
    </w:p>
    <w:p>
      <w:pPr>
        <w:pStyle w:val="BodyText"/>
        <w:spacing w:before="19"/>
        <w:ind w:left="1140"/>
      </w:pPr>
      <w:r>
        <w:rPr>
          <w:rFonts w:ascii="Arial" w:eastAsia="Arial"/>
        </w:rPr>
        <w:t>2.</w:t>
      </w:r>
      <w:r>
        <w:rPr/>
        <w:t>正确使用、保管各种劳保用品、器具和防护设施；</w:t>
      </w:r>
    </w:p>
    <w:p>
      <w:pPr>
        <w:pStyle w:val="BodyText"/>
        <w:spacing w:line="391" w:lineRule="auto" w:before="396"/>
        <w:ind w:right="1196" w:firstLine="980"/>
      </w:pPr>
      <w:r>
        <w:rPr>
          <w:rFonts w:ascii="Arial" w:eastAsia="Arial"/>
        </w:rPr>
        <w:t>3.</w:t>
      </w:r>
      <w:r>
        <w:rPr/>
        <w:t>不违章作业，并劝阻或制止他人违章作业行为，对违章指挥有权拒绝执行，并及时向单位领导汇报；</w:t>
      </w:r>
    </w:p>
    <w:p>
      <w:pPr>
        <w:pStyle w:val="BodyText"/>
        <w:spacing w:line="391" w:lineRule="auto" w:before="102"/>
        <w:ind w:right="1196" w:firstLine="980"/>
      </w:pPr>
      <w:r>
        <w:rPr>
          <w:rFonts w:ascii="Arial" w:eastAsia="Arial"/>
        </w:rPr>
        <w:t>4.</w:t>
      </w:r>
      <w:r>
        <w:rPr/>
        <w:t>当工作场所有发生职业危害事故的危险时，应向监督管理人员报告，并停止作业，直到危险消除。</w:t>
      </w:r>
    </w:p>
    <w:p>
      <w:pPr>
        <w:pStyle w:val="BodyText"/>
        <w:spacing w:before="42"/>
        <w:ind w:left="1140"/>
      </w:pPr>
      <w:r>
        <w:rPr/>
        <w:t>（五）职业危害管理部门职业危害防治责任制</w:t>
      </w:r>
    </w:p>
    <w:p>
      <w:pPr>
        <w:pStyle w:val="BodyText"/>
        <w:spacing w:before="8"/>
        <w:ind w:left="0"/>
        <w:rPr>
          <w:sz w:val="35"/>
        </w:rPr>
      </w:pPr>
    </w:p>
    <w:p>
      <w:pPr>
        <w:pStyle w:val="BodyText"/>
        <w:spacing w:line="391" w:lineRule="auto"/>
        <w:ind w:right="1659" w:firstLine="980"/>
      </w:pPr>
      <w:r>
        <w:rPr>
          <w:rFonts w:ascii="Arial" w:eastAsia="Arial"/>
        </w:rPr>
        <w:t>1.</w:t>
      </w:r>
      <w:r>
        <w:rPr/>
        <w:t>贯彻执行国家和上级制定的职业危害防治的规定及各项职业危害防治规章制度，并对执行情况进行监督检查；</w:t>
      </w:r>
    </w:p>
    <w:p>
      <w:pPr>
        <w:pStyle w:val="BodyText"/>
        <w:spacing w:line="391" w:lineRule="auto" w:before="82"/>
        <w:ind w:right="1196" w:firstLine="980"/>
      </w:pPr>
      <w:r>
        <w:rPr>
          <w:rFonts w:ascii="Arial" w:eastAsia="Arial"/>
        </w:rPr>
        <w:t>2.</w:t>
      </w:r>
      <w:r>
        <w:rPr/>
        <w:t>在企业负责人领导下组织建立、修订各项职业危害防治管理制度和参与制定职业危害防治技术措施；</w:t>
      </w:r>
    </w:p>
    <w:p>
      <w:pPr>
        <w:pStyle w:val="BodyText"/>
        <w:spacing w:line="391" w:lineRule="auto" w:before="102"/>
        <w:ind w:right="1659" w:firstLine="980"/>
      </w:pPr>
      <w:r>
        <w:rPr>
          <w:rFonts w:ascii="Arial" w:eastAsia="Arial"/>
        </w:rPr>
        <w:t>3.</w:t>
      </w:r>
      <w:r>
        <w:rPr/>
        <w:t>职业危害防治技术措施计划和作业场所的职业危害防治实施监督管理。</w:t>
      </w:r>
    </w:p>
    <w:p>
      <w:pPr>
        <w:pStyle w:val="BodyText"/>
        <w:spacing w:before="83"/>
        <w:ind w:left="1140"/>
      </w:pPr>
      <w:r>
        <w:rPr/>
        <w:t>二、职业危害告知制度</w:t>
      </w:r>
    </w:p>
    <w:p>
      <w:pPr>
        <w:pStyle w:val="BodyText"/>
        <w:spacing w:before="356"/>
        <w:ind w:left="1140"/>
      </w:pPr>
      <w:r>
        <w:rPr/>
        <w:t>（一）岗前告知</w:t>
      </w:r>
    </w:p>
    <w:p>
      <w:pPr>
        <w:pStyle w:val="BodyText"/>
        <w:tabs>
          <w:tab w:pos="7259" w:val="left" w:leader="none"/>
        </w:tabs>
        <w:spacing w:line="408" w:lineRule="auto" w:before="416"/>
        <w:ind w:right="759" w:firstLine="980"/>
      </w:pPr>
      <w:r>
        <w:rPr/>
        <w:t>在订立或者变更劳动合同时，</w:t>
        <w:tab/>
        <w:t>将工作场所中可能产生的职业病危害因素、后果、防护措施和待遇等如实告知劳动者。</w:t>
      </w:r>
    </w:p>
    <w:p>
      <w:pPr>
        <w:pStyle w:val="BodyText"/>
        <w:spacing w:before="3"/>
        <w:ind w:left="1140"/>
      </w:pPr>
      <w:r>
        <w:rPr/>
        <w:t>（二）作业场所告知</w:t>
      </w:r>
    </w:p>
    <w:p>
      <w:pPr>
        <w:pStyle w:val="BodyText"/>
        <w:spacing w:before="8"/>
        <w:ind w:left="0"/>
        <w:rPr>
          <w:sz w:val="35"/>
        </w:rPr>
      </w:pPr>
    </w:p>
    <w:p>
      <w:pPr>
        <w:pStyle w:val="BodyText"/>
        <w:ind w:left="1140"/>
      </w:pPr>
      <w:r>
        <w:rPr>
          <w:rFonts w:ascii="Arial" w:eastAsia="Arial"/>
        </w:rPr>
        <w:t>1.</w:t>
      </w:r>
      <w:r>
        <w:rPr/>
        <w:t>设置或定期更换作业场所职业病危害警示标识，明确具体</w:t>
      </w:r>
    </w:p>
    <w:p>
      <w:pPr>
        <w:spacing w:after="0"/>
        <w:sectPr>
          <w:pgSz w:w="19120" w:h="27060"/>
          <w:pgMar w:header="0" w:footer="2100" w:top="2620" w:bottom="2300" w:left="2700" w:right="2680"/>
        </w:sectPr>
      </w:pPr>
    </w:p>
    <w:p>
      <w:pPr>
        <w:pStyle w:val="BodyText"/>
        <w:spacing w:before="60"/>
      </w:pPr>
      <w:r>
        <w:rPr/>
        <w:t>负责人；</w:t>
      </w:r>
    </w:p>
    <w:p>
      <w:pPr>
        <w:pStyle w:val="BodyText"/>
        <w:spacing w:before="436"/>
        <w:ind w:left="1140"/>
      </w:pPr>
      <w:r>
        <w:rPr>
          <w:rFonts w:ascii="Arial" w:eastAsia="Arial"/>
        </w:rPr>
        <w:t>2.</w:t>
      </w:r>
      <w:r>
        <w:rPr/>
        <w:t>设置高毒物品告知卡；</w:t>
      </w:r>
    </w:p>
    <w:p>
      <w:pPr>
        <w:pStyle w:val="BodyText"/>
        <w:spacing w:line="408" w:lineRule="auto" w:before="396"/>
        <w:ind w:left="1140" w:right="2076"/>
      </w:pPr>
      <w:r>
        <w:rPr>
          <w:rFonts w:ascii="Arial" w:eastAsia="Arial"/>
        </w:rPr>
        <w:t>3.</w:t>
      </w:r>
      <w:r>
        <w:rPr/>
        <w:t>定期将监测、检测和评价结果公示，明确公示方式。三、职业危害检查和隐患整改制度</w:t>
      </w:r>
    </w:p>
    <w:p>
      <w:pPr>
        <w:pStyle w:val="BodyText"/>
        <w:spacing w:before="23"/>
        <w:ind w:left="1140"/>
      </w:pPr>
      <w:r>
        <w:rPr>
          <w:rFonts w:ascii="Arial" w:eastAsia="Arial"/>
        </w:rPr>
        <w:t>1.</w:t>
      </w:r>
      <w:r>
        <w:rPr/>
        <w:t>明确职业危害检查负责部门和人员，以及相应的任务和职</w:t>
      </w:r>
    </w:p>
    <w:p>
      <w:pPr>
        <w:pStyle w:val="BodyText"/>
        <w:spacing w:before="11"/>
        <w:ind w:left="0"/>
        <w:rPr>
          <w:sz w:val="24"/>
        </w:rPr>
      </w:pPr>
    </w:p>
    <w:p>
      <w:pPr>
        <w:pStyle w:val="BodyText"/>
        <w:spacing w:before="38"/>
      </w:pPr>
      <w:r>
        <w:rPr/>
        <w:t>责；</w:t>
      </w:r>
    </w:p>
    <w:p>
      <w:pPr>
        <w:pStyle w:val="BodyText"/>
        <w:spacing w:before="436"/>
        <w:ind w:left="1140"/>
      </w:pPr>
      <w:r>
        <w:rPr>
          <w:rFonts w:ascii="Arial" w:eastAsia="Arial"/>
        </w:rPr>
        <w:t>2.</w:t>
      </w:r>
      <w:r>
        <w:rPr/>
        <w:t>明确职业危害检查方式（如日常、定期、季节性、节假日</w:t>
      </w:r>
    </w:p>
    <w:p>
      <w:pPr>
        <w:pStyle w:val="BodyText"/>
        <w:spacing w:before="11"/>
        <w:ind w:left="0"/>
        <w:rPr>
          <w:sz w:val="24"/>
        </w:rPr>
      </w:pPr>
    </w:p>
    <w:p>
      <w:pPr>
        <w:pStyle w:val="BodyText"/>
        <w:spacing w:before="38"/>
      </w:pPr>
      <w:r>
        <w:rPr/>
        <w:t>前后和一般性、专业性）及检查周期；</w:t>
      </w:r>
    </w:p>
    <w:p>
      <w:pPr>
        <w:pStyle w:val="BodyText"/>
        <w:spacing w:before="8"/>
        <w:ind w:left="0"/>
        <w:rPr>
          <w:sz w:val="35"/>
        </w:rPr>
      </w:pPr>
    </w:p>
    <w:p>
      <w:pPr>
        <w:pStyle w:val="BodyText"/>
        <w:spacing w:line="400" w:lineRule="auto"/>
        <w:ind w:right="1239" w:firstLine="980"/>
        <w:jc w:val="both"/>
      </w:pPr>
      <w:r>
        <w:rPr>
          <w:rFonts w:ascii="Arial" w:eastAsia="Arial"/>
          <w:spacing w:val="-4"/>
        </w:rPr>
        <w:t>3.</w:t>
      </w:r>
      <w:r>
        <w:rPr/>
        <w:t>明确职业危害检查内容（包括对思想认识、管理制度、现场环境、职业危害标志、职业危害设施、工艺、设备、仪表、问题整改等方面的检查内容）</w:t>
      </w:r>
      <w:r>
        <w:rPr>
          <w:spacing w:val="30"/>
        </w:rPr>
        <w:t> ；</w:t>
      </w:r>
    </w:p>
    <w:p>
      <w:pPr>
        <w:pStyle w:val="BodyText"/>
        <w:spacing w:before="76"/>
        <w:ind w:left="1140"/>
      </w:pPr>
      <w:r>
        <w:rPr>
          <w:rFonts w:ascii="Arial" w:eastAsia="Arial"/>
        </w:rPr>
        <w:t>4.</w:t>
      </w:r>
      <w:r>
        <w:rPr/>
        <w:t>检查记录保存完好；</w:t>
      </w:r>
    </w:p>
    <w:p>
      <w:pPr>
        <w:pStyle w:val="BodyText"/>
        <w:spacing w:before="396"/>
        <w:ind w:left="1140"/>
      </w:pPr>
      <w:r>
        <w:rPr>
          <w:rFonts w:ascii="Arial" w:eastAsia="Arial"/>
        </w:rPr>
        <w:t>5.</w:t>
      </w:r>
      <w:r>
        <w:rPr/>
        <w:t>明确对检查中发现问题的处理；</w:t>
      </w:r>
    </w:p>
    <w:p>
      <w:pPr>
        <w:pStyle w:val="BodyText"/>
        <w:spacing w:before="396"/>
        <w:ind w:left="1140"/>
      </w:pPr>
      <w:r>
        <w:rPr>
          <w:rFonts w:ascii="Arial" w:eastAsia="Arial"/>
        </w:rPr>
        <w:t>6.</w:t>
      </w:r>
      <w:r>
        <w:rPr/>
        <w:t>明确对事故隐患整改限期要求及复查要求，实现跟踪问</w:t>
      </w:r>
    </w:p>
    <w:p>
      <w:pPr>
        <w:pStyle w:val="BodyText"/>
        <w:spacing w:before="11"/>
        <w:ind w:left="0"/>
        <w:rPr>
          <w:sz w:val="24"/>
        </w:rPr>
      </w:pPr>
    </w:p>
    <w:p>
      <w:pPr>
        <w:pStyle w:val="BodyText"/>
        <w:spacing w:before="38"/>
      </w:pPr>
      <w:r>
        <w:rPr/>
        <w:t>效；</w:t>
      </w:r>
    </w:p>
    <w:p>
      <w:pPr>
        <w:pStyle w:val="BodyText"/>
        <w:spacing w:before="7"/>
        <w:ind w:left="0"/>
        <w:rPr>
          <w:sz w:val="35"/>
        </w:rPr>
      </w:pPr>
    </w:p>
    <w:p>
      <w:pPr>
        <w:pStyle w:val="BodyText"/>
        <w:spacing w:before="1"/>
        <w:ind w:left="1140"/>
      </w:pPr>
      <w:r>
        <w:rPr>
          <w:rFonts w:ascii="Arial" w:eastAsia="Arial"/>
        </w:rPr>
        <w:t>7.</w:t>
      </w:r>
      <w:r>
        <w:rPr/>
        <w:t>有害作业与无害作业是否分开，作业场所与生活场所是否</w:t>
      </w:r>
    </w:p>
    <w:p>
      <w:pPr>
        <w:pStyle w:val="BodyText"/>
        <w:spacing w:before="10"/>
        <w:ind w:left="0"/>
        <w:rPr>
          <w:sz w:val="24"/>
        </w:rPr>
      </w:pPr>
    </w:p>
    <w:p>
      <w:pPr>
        <w:pStyle w:val="BodyText"/>
        <w:spacing w:before="38"/>
      </w:pPr>
      <w:r>
        <w:rPr/>
        <w:t>分开。</w:t>
      </w:r>
    </w:p>
    <w:p>
      <w:pPr>
        <w:pStyle w:val="BodyText"/>
        <w:spacing w:before="437"/>
        <w:ind w:left="1140"/>
      </w:pPr>
      <w:r>
        <w:rPr/>
        <w:t>四、职业危害申报制度</w:t>
      </w:r>
    </w:p>
    <w:p>
      <w:pPr>
        <w:pStyle w:val="BodyText"/>
        <w:spacing w:before="396"/>
        <w:ind w:left="1140"/>
      </w:pPr>
      <w:r>
        <w:rPr>
          <w:rFonts w:ascii="Arial" w:eastAsia="Arial"/>
        </w:rPr>
        <w:t>1.</w:t>
      </w:r>
      <w:r>
        <w:rPr/>
        <w:t>申报工作负责人；</w:t>
      </w:r>
    </w:p>
    <w:p>
      <w:pPr>
        <w:pStyle w:val="BodyText"/>
        <w:spacing w:before="416"/>
        <w:ind w:left="1140"/>
      </w:pPr>
      <w:r>
        <w:rPr>
          <w:rFonts w:ascii="Arial" w:eastAsia="Arial"/>
        </w:rPr>
        <w:t>2.</w:t>
      </w:r>
      <w:r>
        <w:rPr/>
        <w:t>每年申报时间；</w:t>
      </w:r>
    </w:p>
    <w:p>
      <w:pPr>
        <w:pStyle w:val="BodyText"/>
        <w:spacing w:before="396"/>
        <w:ind w:left="1140"/>
      </w:pPr>
      <w:r>
        <w:rPr>
          <w:rFonts w:ascii="Arial" w:eastAsia="Arial"/>
        </w:rPr>
        <w:t>3.</w:t>
      </w:r>
      <w:r>
        <w:rPr/>
        <w:t>申报程序；</w:t>
      </w:r>
    </w:p>
    <w:p>
      <w:pPr>
        <w:pStyle w:val="BodyText"/>
        <w:spacing w:before="397"/>
        <w:ind w:left="1140"/>
      </w:pPr>
      <w:r>
        <w:rPr>
          <w:rFonts w:ascii="Arial" w:eastAsia="Arial"/>
        </w:rPr>
        <w:t>4.</w:t>
      </w:r>
      <w:r>
        <w:rPr/>
        <w:t>申报存档资料。</w:t>
      </w:r>
    </w:p>
    <w:p>
      <w:pPr>
        <w:pStyle w:val="BodyText"/>
        <w:spacing w:before="416"/>
        <w:ind w:left="1140"/>
      </w:pPr>
      <w:r>
        <w:rPr/>
        <w:t>五、职业健康宣传教育培训制度</w:t>
      </w:r>
    </w:p>
    <w:p>
      <w:pPr>
        <w:spacing w:after="0"/>
        <w:sectPr>
          <w:pgSz w:w="19120" w:h="27060"/>
          <w:pgMar w:header="0" w:footer="2100" w:top="2620" w:bottom="2300" w:left="2700" w:right="2680"/>
        </w:sectPr>
      </w:pPr>
    </w:p>
    <w:p>
      <w:pPr>
        <w:pStyle w:val="BodyText"/>
        <w:spacing w:line="400" w:lineRule="auto" w:before="100"/>
        <w:ind w:right="1239" w:firstLine="980"/>
        <w:jc w:val="both"/>
      </w:pPr>
      <w:r>
        <w:rPr>
          <w:rFonts w:ascii="Arial" w:eastAsia="Arial"/>
          <w:spacing w:val="-4"/>
        </w:rPr>
        <w:t>1.</w:t>
      </w:r>
      <w:r>
        <w:rPr/>
        <w:t>明确教育培训负责部门和培训对象（负责人、管理人员、特种作业人员、在岗员工、新进员工、转岗人员、外来人员、临时工作人员等）</w:t>
      </w:r>
      <w:r>
        <w:rPr>
          <w:spacing w:val="-70"/>
        </w:rPr>
        <w:t> ；</w:t>
      </w:r>
    </w:p>
    <w:p>
      <w:pPr>
        <w:pStyle w:val="BodyText"/>
        <w:spacing w:before="55"/>
        <w:ind w:left="1140"/>
      </w:pPr>
      <w:r>
        <w:rPr>
          <w:rFonts w:ascii="Arial" w:eastAsia="Arial"/>
        </w:rPr>
        <w:t>2.</w:t>
      </w:r>
      <w:r>
        <w:rPr/>
        <w:t>明确各类人员接受职业危害教育的内容（思想、政策、法</w:t>
      </w:r>
    </w:p>
    <w:p>
      <w:pPr>
        <w:pStyle w:val="BodyText"/>
        <w:spacing w:before="377"/>
        <w:ind w:left="50" w:right="10"/>
        <w:jc w:val="center"/>
      </w:pPr>
      <w:r>
        <w:rPr/>
        <w:t>律法规、 事故教训、 职业危害基本技能、 常识、经验等） 及教材；</w:t>
      </w:r>
    </w:p>
    <w:p>
      <w:pPr>
        <w:pStyle w:val="BodyText"/>
        <w:spacing w:before="436"/>
        <w:ind w:left="1140"/>
      </w:pPr>
      <w:r>
        <w:rPr>
          <w:rFonts w:ascii="Arial" w:eastAsia="Arial"/>
        </w:rPr>
        <w:t>3.</w:t>
      </w:r>
      <w:r>
        <w:rPr/>
        <w:t>明确培训应达到的目的及资格要求；</w:t>
      </w:r>
    </w:p>
    <w:p>
      <w:pPr>
        <w:pStyle w:val="BodyText"/>
        <w:spacing w:before="396"/>
        <w:ind w:left="1140"/>
      </w:pPr>
      <w:r>
        <w:rPr>
          <w:rFonts w:ascii="Arial" w:eastAsia="Arial"/>
        </w:rPr>
        <w:t>4.</w:t>
      </w:r>
      <w:r>
        <w:rPr/>
        <w:t>明确教育方式、培训时间、考核方式；</w:t>
      </w:r>
    </w:p>
    <w:p>
      <w:pPr>
        <w:pStyle w:val="BodyText"/>
        <w:spacing w:line="400" w:lineRule="auto" w:before="396"/>
        <w:ind w:right="1196" w:firstLine="980"/>
      </w:pPr>
      <w:r>
        <w:rPr>
          <w:rFonts w:ascii="Arial" w:eastAsia="Arial"/>
        </w:rPr>
        <w:t>5.</w:t>
      </w:r>
      <w:r>
        <w:rPr/>
        <w:t>明确必须持证上岗的人员，依法接受有关培训、考核（包括复审）管理规定的要求。</w:t>
      </w:r>
    </w:p>
    <w:p>
      <w:pPr>
        <w:pStyle w:val="BodyText"/>
        <w:spacing w:before="57"/>
        <w:ind w:left="1140"/>
      </w:pPr>
      <w:r>
        <w:rPr/>
        <w:t>六、从业人员防护用品管理制度</w:t>
      </w:r>
    </w:p>
    <w:p>
      <w:pPr>
        <w:pStyle w:val="BodyText"/>
        <w:spacing w:before="397"/>
        <w:ind w:left="1140"/>
      </w:pPr>
      <w:r>
        <w:rPr>
          <w:rFonts w:ascii="Arial" w:eastAsia="Arial"/>
        </w:rPr>
        <w:t>1.</w:t>
      </w:r>
      <w:r>
        <w:rPr/>
        <w:t>明确配备标准；</w:t>
      </w:r>
    </w:p>
    <w:p>
      <w:pPr>
        <w:pStyle w:val="BodyText"/>
        <w:spacing w:before="416"/>
        <w:ind w:left="1140"/>
      </w:pPr>
      <w:r>
        <w:rPr>
          <w:rFonts w:ascii="Arial" w:eastAsia="Arial"/>
        </w:rPr>
        <w:t>2.</w:t>
      </w:r>
      <w:r>
        <w:rPr/>
        <w:t>明确采购及特种劳保用品供应方的资质审验办法；</w:t>
      </w:r>
    </w:p>
    <w:p>
      <w:pPr>
        <w:pStyle w:val="BodyText"/>
        <w:spacing w:line="408" w:lineRule="auto" w:before="396"/>
        <w:ind w:left="1140" w:right="499"/>
      </w:pPr>
      <w:r>
        <w:rPr>
          <w:rFonts w:ascii="Arial" w:eastAsia="Arial"/>
        </w:rPr>
        <w:t>3.</w:t>
      </w:r>
      <w:r>
        <w:rPr/>
        <w:t>明确劳保用品的发放、 使用、报废管理办法和管理责任人。七、职业健康监护档案管理制度</w:t>
      </w:r>
    </w:p>
    <w:p>
      <w:pPr>
        <w:pStyle w:val="BodyText"/>
        <w:spacing w:line="527" w:lineRule="exact"/>
        <w:ind w:left="1140"/>
      </w:pPr>
      <w:r>
        <w:rPr/>
        <w:t>（一）从业人员职业健康监护档案</w:t>
      </w:r>
    </w:p>
    <w:p>
      <w:pPr>
        <w:pStyle w:val="BodyText"/>
        <w:spacing w:before="8"/>
        <w:ind w:left="0"/>
        <w:rPr>
          <w:sz w:val="35"/>
        </w:rPr>
      </w:pPr>
    </w:p>
    <w:p>
      <w:pPr>
        <w:pStyle w:val="BodyText"/>
        <w:ind w:left="1140"/>
      </w:pPr>
      <w:r>
        <w:rPr>
          <w:rFonts w:ascii="Arial" w:eastAsia="Arial"/>
        </w:rPr>
        <w:t>1.</w:t>
      </w:r>
      <w:r>
        <w:rPr/>
        <w:t>从业人员职业史、既往史和职业病危害接触史；</w:t>
      </w:r>
    </w:p>
    <w:p>
      <w:pPr>
        <w:pStyle w:val="BodyText"/>
        <w:spacing w:before="396"/>
        <w:ind w:left="1140"/>
      </w:pPr>
      <w:r>
        <w:rPr>
          <w:rFonts w:ascii="Arial" w:eastAsia="Arial"/>
        </w:rPr>
        <w:t>2.</w:t>
      </w:r>
      <w:r>
        <w:rPr/>
        <w:t>相应作业场所职业病危害因素监测结果；</w:t>
      </w:r>
    </w:p>
    <w:p>
      <w:pPr>
        <w:pStyle w:val="BodyText"/>
        <w:spacing w:before="396"/>
        <w:ind w:left="1140"/>
      </w:pPr>
      <w:r>
        <w:rPr>
          <w:rFonts w:ascii="Arial" w:eastAsia="Arial"/>
        </w:rPr>
        <w:t>3.</w:t>
      </w:r>
      <w:r>
        <w:rPr/>
        <w:t>职业健康检查结果及处理情况；</w:t>
      </w:r>
    </w:p>
    <w:p>
      <w:pPr>
        <w:pStyle w:val="BodyText"/>
        <w:spacing w:before="397"/>
        <w:ind w:left="1140"/>
      </w:pPr>
      <w:r>
        <w:rPr>
          <w:rFonts w:ascii="Arial" w:eastAsia="Arial"/>
        </w:rPr>
        <w:t>4.</w:t>
      </w:r>
      <w:r>
        <w:rPr/>
        <w:t>职业病诊疗等员工健康资料</w:t>
      </w:r>
    </w:p>
    <w:p>
      <w:pPr>
        <w:pStyle w:val="BodyText"/>
        <w:spacing w:before="376"/>
        <w:ind w:left="1140"/>
      </w:pPr>
      <w:r>
        <w:rPr/>
        <w:t>（二）用人单位职业健康监护管理档案</w:t>
      </w:r>
    </w:p>
    <w:p>
      <w:pPr>
        <w:pStyle w:val="BodyText"/>
        <w:spacing w:before="436"/>
        <w:ind w:left="1140"/>
      </w:pPr>
      <w:r>
        <w:rPr>
          <w:rFonts w:ascii="Arial" w:eastAsia="Arial"/>
        </w:rPr>
        <w:t>1.</w:t>
      </w:r>
      <w:r>
        <w:rPr/>
        <w:t>职业健康监护委托书；</w:t>
      </w:r>
    </w:p>
    <w:p>
      <w:pPr>
        <w:pStyle w:val="BodyText"/>
        <w:spacing w:before="396"/>
        <w:ind w:left="1140"/>
      </w:pPr>
      <w:r>
        <w:rPr>
          <w:rFonts w:ascii="Arial" w:eastAsia="Arial"/>
        </w:rPr>
        <w:t>2.</w:t>
      </w:r>
      <w:r>
        <w:rPr/>
        <w:t>职业健康检查结果报告和评价报告；</w:t>
      </w:r>
    </w:p>
    <w:p>
      <w:pPr>
        <w:pStyle w:val="BodyText"/>
        <w:spacing w:before="417"/>
        <w:ind w:left="1140"/>
      </w:pPr>
      <w:r>
        <w:rPr>
          <w:rFonts w:ascii="Arial" w:eastAsia="Arial"/>
        </w:rPr>
        <w:t>3.</w:t>
      </w:r>
      <w:r>
        <w:rPr/>
        <w:t>职业病报告卡；</w:t>
      </w:r>
    </w:p>
    <w:p>
      <w:pPr>
        <w:spacing w:after="0"/>
        <w:sectPr>
          <w:pgSz w:w="19120" w:h="27060"/>
          <w:pgMar w:header="0" w:footer="2100" w:top="2620" w:bottom="2300" w:left="2700" w:right="2680"/>
        </w:sectPr>
      </w:pPr>
    </w:p>
    <w:p>
      <w:pPr>
        <w:pStyle w:val="BodyText"/>
        <w:spacing w:line="391" w:lineRule="auto" w:before="100"/>
        <w:ind w:right="1196" w:firstLine="980"/>
      </w:pPr>
      <w:r>
        <w:rPr>
          <w:rFonts w:ascii="Arial" w:eastAsia="Arial"/>
        </w:rPr>
        <w:t>4.</w:t>
      </w:r>
      <w:r>
        <w:rPr/>
        <w:t>对职业病患者、患有职业禁忌证者和已出现职业相关健康损害从业人员的处理和安置记录。</w:t>
      </w:r>
    </w:p>
    <w:p>
      <w:pPr>
        <w:pStyle w:val="BodyText"/>
        <w:spacing w:before="42"/>
        <w:ind w:left="1140"/>
      </w:pPr>
      <w:r>
        <w:rPr/>
        <w:t>（三）职业健康检查</w:t>
      </w:r>
    </w:p>
    <w:p>
      <w:pPr>
        <w:pStyle w:val="BodyText"/>
        <w:spacing w:before="436"/>
        <w:ind w:left="1140"/>
      </w:pPr>
      <w:r>
        <w:rPr>
          <w:rFonts w:ascii="Arial" w:eastAsia="Arial"/>
        </w:rPr>
        <w:t>1</w:t>
      </w:r>
      <w:r>
        <w:rPr/>
        <w:t>、开展上岗前的职业健康检查，不得安排未经上岗前职业</w:t>
      </w:r>
    </w:p>
    <w:p>
      <w:pPr>
        <w:pStyle w:val="BodyText"/>
        <w:tabs>
          <w:tab w:pos="10659" w:val="left" w:leader="none"/>
        </w:tabs>
        <w:spacing w:line="408" w:lineRule="auto" w:before="376"/>
        <w:ind w:right="439"/>
      </w:pPr>
      <w:r>
        <w:rPr/>
        <w:t>健康检查的员工从事接触职业病危害因素的作业；</w:t>
        <w:tab/>
        <w:t>不得安排有职业禁忌的员工从事其所禁忌的作业。</w:t>
      </w:r>
    </w:p>
    <w:p>
      <w:pPr>
        <w:pStyle w:val="BodyText"/>
        <w:tabs>
          <w:tab w:pos="7759" w:val="left" w:leader="none"/>
          <w:tab w:pos="9199" w:val="left" w:leader="none"/>
        </w:tabs>
        <w:spacing w:line="405" w:lineRule="auto" w:before="44"/>
        <w:ind w:right="579" w:firstLine="980"/>
      </w:pPr>
      <w:r>
        <w:rPr>
          <w:rFonts w:ascii="Arial" w:eastAsia="Arial"/>
          <w:spacing w:val="-5"/>
        </w:rPr>
        <w:t>2</w:t>
      </w:r>
      <w:r>
        <w:rPr/>
        <w:t>、开展在岗期间的职业健康检查，将体检结果如实告知从  业人员，</w:t>
      </w:r>
      <w:r>
        <w:rPr>
          <w:spacing w:val="-100"/>
        </w:rPr>
        <w:t> </w:t>
      </w:r>
      <w:r>
        <w:rPr/>
        <w:t>对需要复查和医学观察的劳动者，</w:t>
        <w:tab/>
        <w:t>应当按照体检机构要求的时间，</w:t>
      </w:r>
      <w:r>
        <w:rPr>
          <w:spacing w:val="-60"/>
        </w:rPr>
        <w:t> </w:t>
      </w:r>
      <w:r>
        <w:rPr/>
        <w:t>安排其复查和医学观察；</w:t>
        <w:tab/>
        <w:t>对疑似职业病病人应当向所在地安全监管和卫生行政部门报告，</w:t>
        <w:tab/>
        <w:t>并按照体检机构的要求安排其进行职业病诊断或者医学观察。</w:t>
      </w:r>
    </w:p>
    <w:p>
      <w:pPr>
        <w:pStyle w:val="BodyText"/>
        <w:spacing w:line="391" w:lineRule="auto" w:before="76"/>
        <w:ind w:right="1317" w:firstLine="980"/>
      </w:pPr>
      <w:r>
        <w:rPr>
          <w:rFonts w:ascii="Arial" w:eastAsia="Arial"/>
        </w:rPr>
        <w:t>3</w:t>
      </w:r>
      <w:r>
        <w:rPr/>
        <w:t>、开展离岗时的职业健康检查。对未进行离岗时职业健康检查的从业人员，不得解除或终止与其订立的劳动合同。</w:t>
      </w:r>
    </w:p>
    <w:p>
      <w:pPr>
        <w:pStyle w:val="BodyText"/>
        <w:spacing w:line="408" w:lineRule="auto" w:before="82"/>
        <w:ind w:left="1140" w:right="999"/>
      </w:pPr>
      <w:r>
        <w:rPr>
          <w:rFonts w:ascii="Arial" w:eastAsia="Arial"/>
          <w:spacing w:val="-5"/>
        </w:rPr>
        <w:t>4</w:t>
      </w:r>
      <w:r>
        <w:rPr>
          <w:spacing w:val="-10"/>
        </w:rPr>
        <w:t>、开展职业危害事故后参加应急救援人员的职业健康检查。八、岗位职业健康操作规程</w:t>
      </w:r>
    </w:p>
    <w:p>
      <w:pPr>
        <w:pStyle w:val="BodyText"/>
        <w:tabs>
          <w:tab w:pos="8799" w:val="left" w:leader="none"/>
        </w:tabs>
        <w:spacing w:line="547" w:lineRule="exact"/>
        <w:ind w:left="1140"/>
      </w:pPr>
      <w:r>
        <w:rPr/>
        <w:t>建立健全各岗位职业健康操作规程，</w:t>
        <w:tab/>
        <w:t>并张贴在操作岗位。</w:t>
      </w:r>
      <w:r>
        <w:rPr>
          <w:spacing w:val="80"/>
        </w:rPr>
        <w:t> </w:t>
      </w:r>
      <w:r>
        <w:rPr/>
        <w:t>主</w:t>
      </w:r>
    </w:p>
    <w:p>
      <w:pPr>
        <w:pStyle w:val="BodyText"/>
        <w:spacing w:before="396"/>
      </w:pPr>
      <w:r>
        <w:rPr/>
        <w:t>要包括内容：</w:t>
      </w:r>
    </w:p>
    <w:p>
      <w:pPr>
        <w:pStyle w:val="BodyText"/>
        <w:spacing w:before="437"/>
        <w:ind w:left="1140"/>
      </w:pPr>
      <w:r>
        <w:rPr>
          <w:rFonts w:ascii="Arial" w:eastAsia="Arial"/>
        </w:rPr>
        <w:t>1.</w:t>
      </w:r>
      <w:r>
        <w:rPr/>
        <w:t>生产操作方法和要求；</w:t>
      </w:r>
    </w:p>
    <w:p>
      <w:pPr>
        <w:pStyle w:val="BodyText"/>
        <w:spacing w:before="396"/>
        <w:ind w:left="1140"/>
      </w:pPr>
      <w:r>
        <w:rPr>
          <w:rFonts w:ascii="Arial" w:eastAsia="Arial"/>
        </w:rPr>
        <w:t>2.</w:t>
      </w:r>
      <w:r>
        <w:rPr/>
        <w:t>重点操作的复核、操作过程的职业危害要求和劳动保护；</w:t>
      </w:r>
    </w:p>
    <w:p>
      <w:pPr>
        <w:pStyle w:val="BodyText"/>
        <w:spacing w:before="416"/>
        <w:ind w:left="1140"/>
      </w:pPr>
      <w:r>
        <w:rPr>
          <w:rFonts w:ascii="Arial" w:eastAsia="Arial"/>
        </w:rPr>
        <w:t>3.</w:t>
      </w:r>
      <w:r>
        <w:rPr/>
        <w:t>异常情况处理和报告；</w:t>
      </w:r>
    </w:p>
    <w:p>
      <w:pPr>
        <w:pStyle w:val="BodyText"/>
        <w:spacing w:line="408" w:lineRule="auto" w:before="396"/>
        <w:ind w:left="1140" w:right="7319"/>
      </w:pPr>
      <w:r>
        <w:rPr>
          <w:rFonts w:ascii="Arial" w:eastAsia="Arial"/>
          <w:spacing w:val="-4"/>
        </w:rPr>
        <w:t>4.</w:t>
      </w:r>
      <w:r>
        <w:rPr/>
        <w:t>工艺卫生和环境卫生。 九、职业危害事故管理制度</w:t>
      </w:r>
    </w:p>
    <w:p>
      <w:pPr>
        <w:pStyle w:val="BodyText"/>
        <w:spacing w:before="24"/>
        <w:ind w:left="1140"/>
      </w:pPr>
      <w:r>
        <w:rPr>
          <w:rFonts w:ascii="Arial" w:eastAsia="Arial"/>
        </w:rPr>
        <w:t>1.</w:t>
      </w:r>
      <w:r>
        <w:rPr/>
        <w:t>明确职业危害事故报告程序和内容，调查、处理程序及要</w:t>
      </w:r>
    </w:p>
    <w:p>
      <w:pPr>
        <w:spacing w:after="0"/>
        <w:sectPr>
          <w:pgSz w:w="19120" w:h="27060"/>
          <w:pgMar w:header="0" w:footer="2100" w:top="2620" w:bottom="2300" w:left="2700" w:right="2680"/>
        </w:sectPr>
      </w:pPr>
    </w:p>
    <w:p>
      <w:pPr>
        <w:pStyle w:val="BodyText"/>
        <w:spacing w:before="60"/>
      </w:pPr>
      <w:r>
        <w:rPr/>
        <w:t>求；</w:t>
      </w:r>
    </w:p>
    <w:p>
      <w:pPr>
        <w:pStyle w:val="BodyText"/>
        <w:spacing w:before="416"/>
        <w:ind w:left="1140"/>
      </w:pPr>
      <w:r>
        <w:rPr>
          <w:rFonts w:ascii="Arial" w:hAnsi="Arial" w:eastAsia="Arial"/>
          <w:spacing w:val="-1"/>
        </w:rPr>
        <w:t>2</w:t>
      </w:r>
      <w:r>
        <w:rPr>
          <w:rFonts w:ascii="Arial" w:hAnsi="Arial" w:eastAsia="Arial"/>
          <w:spacing w:val="5"/>
        </w:rPr>
        <w:t>. </w:t>
      </w:r>
      <w:r>
        <w:rPr>
          <w:spacing w:val="-93"/>
        </w:rPr>
        <w:t>“四不放过 ”</w:t>
      </w:r>
      <w:r>
        <w:rPr/>
        <w:t>（事故原因未查清不放过、有关责任人员未处</w:t>
      </w:r>
    </w:p>
    <w:p>
      <w:pPr>
        <w:pStyle w:val="BodyText"/>
        <w:spacing w:before="5"/>
        <w:ind w:left="0"/>
        <w:rPr>
          <w:sz w:val="26"/>
        </w:rPr>
      </w:pPr>
    </w:p>
    <w:p>
      <w:pPr>
        <w:pStyle w:val="BodyText"/>
        <w:spacing w:before="38"/>
      </w:pPr>
      <w:r>
        <w:rPr/>
        <w:t>理不放过、预防措施不放过、未受到教育不放过）原则的要求；</w:t>
      </w:r>
    </w:p>
    <w:p>
      <w:pPr>
        <w:pStyle w:val="BodyText"/>
        <w:spacing w:before="436"/>
        <w:ind w:left="1140"/>
      </w:pPr>
      <w:r>
        <w:rPr>
          <w:rFonts w:ascii="Arial" w:eastAsia="Arial"/>
        </w:rPr>
        <w:t>3.</w:t>
      </w:r>
      <w:r>
        <w:rPr/>
        <w:t>事故档案管理和事故台帐。</w:t>
      </w:r>
    </w:p>
    <w:p>
      <w:pPr>
        <w:pStyle w:val="BodyText"/>
        <w:spacing w:before="417"/>
        <w:ind w:left="1140"/>
      </w:pPr>
      <w:r>
        <w:rPr/>
        <w:t>十、外来施工单位及人员的职业危害管理制度</w:t>
      </w:r>
    </w:p>
    <w:p>
      <w:pPr>
        <w:pStyle w:val="BodyText"/>
        <w:spacing w:before="396"/>
        <w:ind w:left="1140"/>
      </w:pPr>
      <w:r>
        <w:rPr>
          <w:rFonts w:ascii="Arial" w:eastAsia="Arial"/>
        </w:rPr>
        <w:t>1.</w:t>
      </w:r>
      <w:r>
        <w:rPr/>
        <w:t>外来施工单位及人员的资质要求；</w:t>
      </w:r>
    </w:p>
    <w:p>
      <w:pPr>
        <w:pStyle w:val="BodyText"/>
        <w:spacing w:before="396"/>
        <w:ind w:left="1140"/>
      </w:pPr>
      <w:r>
        <w:rPr>
          <w:rFonts w:ascii="Arial" w:eastAsia="Arial"/>
        </w:rPr>
        <w:t>2.</w:t>
      </w:r>
      <w:r>
        <w:rPr/>
        <w:t>对外来施工单位及人员的教育和检查办法；</w:t>
      </w:r>
    </w:p>
    <w:p>
      <w:pPr>
        <w:pStyle w:val="BodyText"/>
        <w:spacing w:before="396"/>
        <w:ind w:left="1140"/>
      </w:pPr>
      <w:r>
        <w:rPr/>
        <w:drawing>
          <wp:anchor distT="0" distB="0" distL="0" distR="0" allowOverlap="1" layoutInCell="1" locked="0" behindDoc="0" simplePos="0" relativeHeight="1960">
            <wp:simplePos x="0" y="0"/>
            <wp:positionH relativeFrom="page">
              <wp:posOffset>1811333</wp:posOffset>
            </wp:positionH>
            <wp:positionV relativeFrom="paragraph">
              <wp:posOffset>648126</wp:posOffset>
            </wp:positionV>
            <wp:extent cx="8449055" cy="603503"/>
            <wp:effectExtent l="0" t="0" r="0" b="0"/>
            <wp:wrapTopAndBottom/>
            <wp:docPr id="19" name="image7.png" descr=""/>
            <wp:cNvGraphicFramePr>
              <a:graphicFrameLocks noChangeAspect="1"/>
            </wp:cNvGraphicFramePr>
            <a:graphic>
              <a:graphicData uri="http://schemas.openxmlformats.org/drawingml/2006/picture">
                <pic:pic>
                  <pic:nvPicPr>
                    <pic:cNvPr id="20" name="image7.png"/>
                    <pic:cNvPicPr/>
                  </pic:nvPicPr>
                  <pic:blipFill>
                    <a:blip r:embed="rId13" cstate="print"/>
                    <a:stretch>
                      <a:fillRect/>
                    </a:stretch>
                  </pic:blipFill>
                  <pic:spPr>
                    <a:xfrm>
                      <a:off x="0" y="0"/>
                      <a:ext cx="8449055" cy="603503"/>
                    </a:xfrm>
                    <a:prstGeom prst="rect">
                      <a:avLst/>
                    </a:prstGeom>
                  </pic:spPr>
                </pic:pic>
              </a:graphicData>
            </a:graphic>
          </wp:anchor>
        </w:drawing>
      </w:r>
      <w:r>
        <w:rPr>
          <w:rFonts w:ascii="Arial" w:eastAsia="Arial"/>
        </w:rPr>
        <w:t>3.</w:t>
      </w:r>
      <w:r>
        <w:rPr/>
        <w:t>职业危害协议签订要求。</w:t>
      </w:r>
    </w:p>
    <w:sectPr>
      <w:pgSz w:w="19120" w:h="27060"/>
      <w:pgMar w:header="0" w:footer="2100" w:top="2620" w:bottom="2300" w:left="2700" w:right="2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752pt;margin-top:1236.989258pt;width:27.7pt;height:25.5pt;mso-position-horizontal-relative:page;mso-position-vertical-relative:page;z-index:-18976" type="#_x0000_t202" filled="false" stroked="false">
          <v:textbox inset="0,0,0,0">
            <w:txbxContent>
              <w:p>
                <w:pPr>
                  <w:spacing w:before="6"/>
                  <w:ind w:left="20" w:right="0" w:firstLine="0"/>
                  <w:jc w:val="left"/>
                  <w:rPr>
                    <w:rFonts w:ascii="Arial"/>
                    <w:sz w:val="42"/>
                  </w:rPr>
                </w:pPr>
                <w:r>
                  <w:rPr>
                    <w:rFonts w:ascii="Arial"/>
                    <w:sz w:val="42"/>
                  </w:rPr>
                  <w:t>-</w:t>
                </w:r>
                <w:r>
                  <w:rPr/>
                  <w:fldChar w:fldCharType="begin"/>
                </w:r>
                <w:r>
                  <w:rPr>
                    <w:rFonts w:ascii="Arial"/>
                    <w:sz w:val="42"/>
                  </w:rPr>
                  <w:instrText> PAGE </w:instrText>
                </w:r>
                <w:r>
                  <w:rPr/>
                  <w:fldChar w:fldCharType="separate"/>
                </w:r>
                <w:r>
                  <w:rPr/>
                  <w:t>1</w:t>
                </w:r>
                <w:r>
                  <w:rPr/>
                  <w:fldChar w:fldCharType="end"/>
                </w:r>
                <w:r>
                  <w:rPr>
                    <w:rFonts w:ascii="Arial"/>
                    <w:sz w:val="42"/>
                  </w:rPr>
                  <w:t>-</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752pt;margin-top:1236.989258pt;width:39.35pt;height:25.5pt;mso-position-horizontal-relative:page;mso-position-vertical-relative:page;z-index:-18952" type="#_x0000_t202" filled="false" stroked="false">
          <v:textbox inset="0,0,0,0">
            <w:txbxContent>
              <w:p>
                <w:pPr>
                  <w:spacing w:before="6"/>
                  <w:ind w:left="20" w:right="0" w:firstLine="0"/>
                  <w:jc w:val="left"/>
                  <w:rPr>
                    <w:rFonts w:ascii="Arial"/>
                    <w:sz w:val="42"/>
                  </w:rPr>
                </w:pPr>
                <w:r>
                  <w:rPr>
                    <w:rFonts w:ascii="Arial"/>
                    <w:sz w:val="42"/>
                  </w:rPr>
                  <w:t>-</w:t>
                </w:r>
                <w:r>
                  <w:rPr/>
                  <w:fldChar w:fldCharType="begin"/>
                </w:r>
                <w:r>
                  <w:rPr>
                    <w:rFonts w:ascii="Arial"/>
                    <w:sz w:val="42"/>
                  </w:rPr>
                  <w:instrText> PAGE </w:instrText>
                </w:r>
                <w:r>
                  <w:rPr/>
                  <w:fldChar w:fldCharType="separate"/>
                </w:r>
                <w:r>
                  <w:rPr/>
                  <w:t>10</w:t>
                </w:r>
                <w:r>
                  <w:rPr/>
                  <w:fldChar w:fldCharType="end"/>
                </w:r>
                <w:r>
                  <w:rPr>
                    <w:rFonts w:ascii="Arial"/>
                    <w:sz w:val="42"/>
                  </w:rPr>
                  <w:t>-</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160" w:hanging="500"/>
        <w:jc w:val="left"/>
      </w:pPr>
      <w:rPr>
        <w:rFonts w:hint="default" w:ascii="Arial" w:hAnsi="Arial" w:eastAsia="Arial" w:cs="Arial"/>
        <w:spacing w:val="-1"/>
        <w:w w:val="100"/>
        <w:sz w:val="44"/>
        <w:szCs w:val="44"/>
      </w:rPr>
    </w:lvl>
    <w:lvl w:ilvl="1">
      <w:start w:val="0"/>
      <w:numFmt w:val="bullet"/>
      <w:lvlText w:val="•"/>
      <w:lvlJc w:val="left"/>
      <w:pPr>
        <w:ind w:left="1518" w:hanging="500"/>
      </w:pPr>
      <w:rPr>
        <w:rFonts w:hint="default"/>
      </w:rPr>
    </w:lvl>
    <w:lvl w:ilvl="2">
      <w:start w:val="0"/>
      <w:numFmt w:val="bullet"/>
      <w:lvlText w:val="•"/>
      <w:lvlJc w:val="left"/>
      <w:pPr>
        <w:ind w:left="2876" w:hanging="500"/>
      </w:pPr>
      <w:rPr>
        <w:rFonts w:hint="default"/>
      </w:rPr>
    </w:lvl>
    <w:lvl w:ilvl="3">
      <w:start w:val="0"/>
      <w:numFmt w:val="bullet"/>
      <w:lvlText w:val="•"/>
      <w:lvlJc w:val="left"/>
      <w:pPr>
        <w:ind w:left="4234" w:hanging="500"/>
      </w:pPr>
      <w:rPr>
        <w:rFonts w:hint="default"/>
      </w:rPr>
    </w:lvl>
    <w:lvl w:ilvl="4">
      <w:start w:val="0"/>
      <w:numFmt w:val="bullet"/>
      <w:lvlText w:val="•"/>
      <w:lvlJc w:val="left"/>
      <w:pPr>
        <w:ind w:left="5592" w:hanging="500"/>
      </w:pPr>
      <w:rPr>
        <w:rFonts w:hint="default"/>
      </w:rPr>
    </w:lvl>
    <w:lvl w:ilvl="5">
      <w:start w:val="0"/>
      <w:numFmt w:val="bullet"/>
      <w:lvlText w:val="•"/>
      <w:lvlJc w:val="left"/>
      <w:pPr>
        <w:ind w:left="6950" w:hanging="500"/>
      </w:pPr>
      <w:rPr>
        <w:rFonts w:hint="default"/>
      </w:rPr>
    </w:lvl>
    <w:lvl w:ilvl="6">
      <w:start w:val="0"/>
      <w:numFmt w:val="bullet"/>
      <w:lvlText w:val="•"/>
      <w:lvlJc w:val="left"/>
      <w:pPr>
        <w:ind w:left="8308" w:hanging="500"/>
      </w:pPr>
      <w:rPr>
        <w:rFonts w:hint="default"/>
      </w:rPr>
    </w:lvl>
    <w:lvl w:ilvl="7">
      <w:start w:val="0"/>
      <w:numFmt w:val="bullet"/>
      <w:lvlText w:val="•"/>
      <w:lvlJc w:val="left"/>
      <w:pPr>
        <w:ind w:left="9666" w:hanging="500"/>
      </w:pPr>
      <w:rPr>
        <w:rFonts w:hint="default"/>
      </w:rPr>
    </w:lvl>
    <w:lvl w:ilvl="8">
      <w:start w:val="0"/>
      <w:numFmt w:val="bullet"/>
      <w:lvlText w:val="•"/>
      <w:lvlJc w:val="left"/>
      <w:pPr>
        <w:ind w:left="11024" w:hanging="500"/>
      </w:pPr>
      <w:rPr>
        <w:rFonts w:hint="default"/>
      </w:rPr>
    </w:lvl>
  </w:abstractNum>
  <w:abstractNum w:abstractNumId="9">
    <w:multiLevelType w:val="hybridMultilevel"/>
    <w:lvl w:ilvl="0">
      <w:start w:val="2"/>
      <w:numFmt w:val="decimal"/>
      <w:lvlText w:val="%1"/>
      <w:lvlJc w:val="left"/>
      <w:pPr>
        <w:ind w:left="2180" w:hanging="860"/>
        <w:jc w:val="left"/>
      </w:pPr>
      <w:rPr>
        <w:rFonts w:hint="default"/>
      </w:rPr>
    </w:lvl>
    <w:lvl w:ilvl="1">
      <w:start w:val="2"/>
      <w:numFmt w:val="decimal"/>
      <w:lvlText w:val="%1.%2"/>
      <w:lvlJc w:val="left"/>
      <w:pPr>
        <w:ind w:left="2180" w:hanging="860"/>
        <w:jc w:val="left"/>
      </w:pPr>
      <w:rPr>
        <w:rFonts w:hint="default" w:ascii="Arial" w:hAnsi="Arial" w:eastAsia="Arial" w:cs="Arial"/>
        <w:spacing w:val="-1"/>
        <w:w w:val="100"/>
        <w:sz w:val="44"/>
        <w:szCs w:val="44"/>
      </w:rPr>
    </w:lvl>
    <w:lvl w:ilvl="2">
      <w:start w:val="1"/>
      <w:numFmt w:val="decimal"/>
      <w:lvlText w:val="%1.%2.%3"/>
      <w:lvlJc w:val="left"/>
      <w:pPr>
        <w:ind w:left="160" w:hanging="1340"/>
        <w:jc w:val="left"/>
      </w:pPr>
      <w:rPr>
        <w:rFonts w:hint="default" w:ascii="Arial" w:hAnsi="Arial" w:eastAsia="Arial" w:cs="Arial"/>
        <w:spacing w:val="-80"/>
        <w:w w:val="100"/>
        <w:sz w:val="44"/>
        <w:szCs w:val="44"/>
      </w:rPr>
    </w:lvl>
    <w:lvl w:ilvl="3">
      <w:start w:val="0"/>
      <w:numFmt w:val="bullet"/>
      <w:lvlText w:val="•"/>
      <w:lvlJc w:val="left"/>
      <w:pPr>
        <w:ind w:left="4748" w:hanging="1340"/>
      </w:pPr>
      <w:rPr>
        <w:rFonts w:hint="default"/>
      </w:rPr>
    </w:lvl>
    <w:lvl w:ilvl="4">
      <w:start w:val="0"/>
      <w:numFmt w:val="bullet"/>
      <w:lvlText w:val="•"/>
      <w:lvlJc w:val="left"/>
      <w:pPr>
        <w:ind w:left="6033" w:hanging="1340"/>
      </w:pPr>
      <w:rPr>
        <w:rFonts w:hint="default"/>
      </w:rPr>
    </w:lvl>
    <w:lvl w:ilvl="5">
      <w:start w:val="0"/>
      <w:numFmt w:val="bullet"/>
      <w:lvlText w:val="•"/>
      <w:lvlJc w:val="left"/>
      <w:pPr>
        <w:ind w:left="7317" w:hanging="1340"/>
      </w:pPr>
      <w:rPr>
        <w:rFonts w:hint="default"/>
      </w:rPr>
    </w:lvl>
    <w:lvl w:ilvl="6">
      <w:start w:val="0"/>
      <w:numFmt w:val="bullet"/>
      <w:lvlText w:val="•"/>
      <w:lvlJc w:val="left"/>
      <w:pPr>
        <w:ind w:left="8602" w:hanging="1340"/>
      </w:pPr>
      <w:rPr>
        <w:rFonts w:hint="default"/>
      </w:rPr>
    </w:lvl>
    <w:lvl w:ilvl="7">
      <w:start w:val="0"/>
      <w:numFmt w:val="bullet"/>
      <w:lvlText w:val="•"/>
      <w:lvlJc w:val="left"/>
      <w:pPr>
        <w:ind w:left="9886" w:hanging="1340"/>
      </w:pPr>
      <w:rPr>
        <w:rFonts w:hint="default"/>
      </w:rPr>
    </w:lvl>
    <w:lvl w:ilvl="8">
      <w:start w:val="0"/>
      <w:numFmt w:val="bullet"/>
      <w:lvlText w:val="•"/>
      <w:lvlJc w:val="left"/>
      <w:pPr>
        <w:ind w:left="11171" w:hanging="1340"/>
      </w:pPr>
      <w:rPr>
        <w:rFonts w:hint="default"/>
      </w:rPr>
    </w:lvl>
  </w:abstractNum>
  <w:abstractNum w:abstractNumId="8">
    <w:multiLevelType w:val="hybridMultilevel"/>
    <w:lvl w:ilvl="0">
      <w:start w:val="1"/>
      <w:numFmt w:val="decimal"/>
      <w:lvlText w:val="%1."/>
      <w:lvlJc w:val="left"/>
      <w:pPr>
        <w:ind w:left="1820" w:hanging="500"/>
        <w:jc w:val="left"/>
      </w:pPr>
      <w:rPr>
        <w:rFonts w:hint="default" w:ascii="Arial" w:hAnsi="Arial" w:eastAsia="Arial" w:cs="Arial"/>
        <w:spacing w:val="-1"/>
        <w:w w:val="100"/>
        <w:sz w:val="44"/>
        <w:szCs w:val="44"/>
      </w:rPr>
    </w:lvl>
    <w:lvl w:ilvl="1">
      <w:start w:val="1"/>
      <w:numFmt w:val="decimal"/>
      <w:lvlText w:val="%1.%2"/>
      <w:lvlJc w:val="left"/>
      <w:pPr>
        <w:ind w:left="160" w:hanging="860"/>
        <w:jc w:val="left"/>
      </w:pPr>
      <w:rPr>
        <w:rFonts w:hint="default" w:ascii="Arial" w:hAnsi="Arial" w:eastAsia="Arial" w:cs="Arial"/>
        <w:spacing w:val="-1"/>
        <w:w w:val="100"/>
        <w:sz w:val="44"/>
        <w:szCs w:val="44"/>
      </w:rPr>
    </w:lvl>
    <w:lvl w:ilvl="2">
      <w:start w:val="1"/>
      <w:numFmt w:val="decimal"/>
      <w:lvlText w:val="%1.%2.%3"/>
      <w:lvlJc w:val="left"/>
      <w:pPr>
        <w:ind w:left="160" w:hanging="1340"/>
        <w:jc w:val="left"/>
      </w:pPr>
      <w:rPr>
        <w:rFonts w:hint="default" w:ascii="Arial" w:hAnsi="Arial" w:eastAsia="Arial" w:cs="Arial"/>
        <w:spacing w:val="-1"/>
        <w:w w:val="100"/>
        <w:sz w:val="44"/>
        <w:szCs w:val="44"/>
      </w:rPr>
    </w:lvl>
    <w:lvl w:ilvl="3">
      <w:start w:val="0"/>
      <w:numFmt w:val="bullet"/>
      <w:lvlText w:val="•"/>
      <w:lvlJc w:val="left"/>
      <w:pPr>
        <w:ind w:left="3625" w:hanging="1340"/>
      </w:pPr>
      <w:rPr>
        <w:rFonts w:hint="default"/>
      </w:rPr>
    </w:lvl>
    <w:lvl w:ilvl="4">
      <w:start w:val="0"/>
      <w:numFmt w:val="bullet"/>
      <w:lvlText w:val="•"/>
      <w:lvlJc w:val="left"/>
      <w:pPr>
        <w:ind w:left="5070" w:hanging="1340"/>
      </w:pPr>
      <w:rPr>
        <w:rFonts w:hint="default"/>
      </w:rPr>
    </w:lvl>
    <w:lvl w:ilvl="5">
      <w:start w:val="0"/>
      <w:numFmt w:val="bullet"/>
      <w:lvlText w:val="•"/>
      <w:lvlJc w:val="left"/>
      <w:pPr>
        <w:ind w:left="6515" w:hanging="1340"/>
      </w:pPr>
      <w:rPr>
        <w:rFonts w:hint="default"/>
      </w:rPr>
    </w:lvl>
    <w:lvl w:ilvl="6">
      <w:start w:val="0"/>
      <w:numFmt w:val="bullet"/>
      <w:lvlText w:val="•"/>
      <w:lvlJc w:val="left"/>
      <w:pPr>
        <w:ind w:left="7960" w:hanging="1340"/>
      </w:pPr>
      <w:rPr>
        <w:rFonts w:hint="default"/>
      </w:rPr>
    </w:lvl>
    <w:lvl w:ilvl="7">
      <w:start w:val="0"/>
      <w:numFmt w:val="bullet"/>
      <w:lvlText w:val="•"/>
      <w:lvlJc w:val="left"/>
      <w:pPr>
        <w:ind w:left="9405" w:hanging="1340"/>
      </w:pPr>
      <w:rPr>
        <w:rFonts w:hint="default"/>
      </w:rPr>
    </w:lvl>
    <w:lvl w:ilvl="8">
      <w:start w:val="0"/>
      <w:numFmt w:val="bullet"/>
      <w:lvlText w:val="•"/>
      <w:lvlJc w:val="left"/>
      <w:pPr>
        <w:ind w:left="10850" w:hanging="1340"/>
      </w:pPr>
      <w:rPr>
        <w:rFonts w:hint="default"/>
      </w:rPr>
    </w:lvl>
  </w:abstractNum>
  <w:abstractNum w:abstractNumId="7">
    <w:multiLevelType w:val="hybridMultilevel"/>
    <w:lvl w:ilvl="0">
      <w:start w:val="1"/>
      <w:numFmt w:val="decimal"/>
      <w:lvlText w:val="%1."/>
      <w:lvlJc w:val="left"/>
      <w:pPr>
        <w:ind w:left="160" w:hanging="500"/>
        <w:jc w:val="left"/>
      </w:pPr>
      <w:rPr>
        <w:rFonts w:hint="default" w:ascii="Arial" w:hAnsi="Arial" w:eastAsia="Arial" w:cs="Arial"/>
        <w:spacing w:val="-1"/>
        <w:w w:val="100"/>
        <w:sz w:val="44"/>
        <w:szCs w:val="44"/>
      </w:rPr>
    </w:lvl>
    <w:lvl w:ilvl="1">
      <w:start w:val="0"/>
      <w:numFmt w:val="bullet"/>
      <w:lvlText w:val="•"/>
      <w:lvlJc w:val="left"/>
      <w:pPr>
        <w:ind w:left="1518" w:hanging="500"/>
      </w:pPr>
      <w:rPr>
        <w:rFonts w:hint="default"/>
      </w:rPr>
    </w:lvl>
    <w:lvl w:ilvl="2">
      <w:start w:val="0"/>
      <w:numFmt w:val="bullet"/>
      <w:lvlText w:val="•"/>
      <w:lvlJc w:val="left"/>
      <w:pPr>
        <w:ind w:left="2876" w:hanging="500"/>
      </w:pPr>
      <w:rPr>
        <w:rFonts w:hint="default"/>
      </w:rPr>
    </w:lvl>
    <w:lvl w:ilvl="3">
      <w:start w:val="0"/>
      <w:numFmt w:val="bullet"/>
      <w:lvlText w:val="•"/>
      <w:lvlJc w:val="left"/>
      <w:pPr>
        <w:ind w:left="4234" w:hanging="500"/>
      </w:pPr>
      <w:rPr>
        <w:rFonts w:hint="default"/>
      </w:rPr>
    </w:lvl>
    <w:lvl w:ilvl="4">
      <w:start w:val="0"/>
      <w:numFmt w:val="bullet"/>
      <w:lvlText w:val="•"/>
      <w:lvlJc w:val="left"/>
      <w:pPr>
        <w:ind w:left="5592" w:hanging="500"/>
      </w:pPr>
      <w:rPr>
        <w:rFonts w:hint="default"/>
      </w:rPr>
    </w:lvl>
    <w:lvl w:ilvl="5">
      <w:start w:val="0"/>
      <w:numFmt w:val="bullet"/>
      <w:lvlText w:val="•"/>
      <w:lvlJc w:val="left"/>
      <w:pPr>
        <w:ind w:left="6950" w:hanging="500"/>
      </w:pPr>
      <w:rPr>
        <w:rFonts w:hint="default"/>
      </w:rPr>
    </w:lvl>
    <w:lvl w:ilvl="6">
      <w:start w:val="0"/>
      <w:numFmt w:val="bullet"/>
      <w:lvlText w:val="•"/>
      <w:lvlJc w:val="left"/>
      <w:pPr>
        <w:ind w:left="8308" w:hanging="500"/>
      </w:pPr>
      <w:rPr>
        <w:rFonts w:hint="default"/>
      </w:rPr>
    </w:lvl>
    <w:lvl w:ilvl="7">
      <w:start w:val="0"/>
      <w:numFmt w:val="bullet"/>
      <w:lvlText w:val="•"/>
      <w:lvlJc w:val="left"/>
      <w:pPr>
        <w:ind w:left="9666" w:hanging="500"/>
      </w:pPr>
      <w:rPr>
        <w:rFonts w:hint="default"/>
      </w:rPr>
    </w:lvl>
    <w:lvl w:ilvl="8">
      <w:start w:val="0"/>
      <w:numFmt w:val="bullet"/>
      <w:lvlText w:val="•"/>
      <w:lvlJc w:val="left"/>
      <w:pPr>
        <w:ind w:left="11024" w:hanging="500"/>
      </w:pPr>
      <w:rPr>
        <w:rFonts w:hint="default"/>
      </w:rPr>
    </w:lvl>
  </w:abstractNum>
  <w:abstractNum w:abstractNumId="6">
    <w:multiLevelType w:val="hybridMultilevel"/>
    <w:lvl w:ilvl="0">
      <w:start w:val="1"/>
      <w:numFmt w:val="decimal"/>
      <w:lvlText w:val="%1."/>
      <w:lvlJc w:val="left"/>
      <w:pPr>
        <w:ind w:left="160" w:hanging="500"/>
        <w:jc w:val="left"/>
      </w:pPr>
      <w:rPr>
        <w:rFonts w:hint="default" w:ascii="Arial" w:hAnsi="Arial" w:eastAsia="Arial" w:cs="Arial"/>
        <w:spacing w:val="-1"/>
        <w:w w:val="100"/>
        <w:sz w:val="44"/>
        <w:szCs w:val="44"/>
      </w:rPr>
    </w:lvl>
    <w:lvl w:ilvl="1">
      <w:start w:val="0"/>
      <w:numFmt w:val="bullet"/>
      <w:lvlText w:val="•"/>
      <w:lvlJc w:val="left"/>
      <w:pPr>
        <w:ind w:left="1518" w:hanging="500"/>
      </w:pPr>
      <w:rPr>
        <w:rFonts w:hint="default"/>
      </w:rPr>
    </w:lvl>
    <w:lvl w:ilvl="2">
      <w:start w:val="0"/>
      <w:numFmt w:val="bullet"/>
      <w:lvlText w:val="•"/>
      <w:lvlJc w:val="left"/>
      <w:pPr>
        <w:ind w:left="2876" w:hanging="500"/>
      </w:pPr>
      <w:rPr>
        <w:rFonts w:hint="default"/>
      </w:rPr>
    </w:lvl>
    <w:lvl w:ilvl="3">
      <w:start w:val="0"/>
      <w:numFmt w:val="bullet"/>
      <w:lvlText w:val="•"/>
      <w:lvlJc w:val="left"/>
      <w:pPr>
        <w:ind w:left="4234" w:hanging="500"/>
      </w:pPr>
      <w:rPr>
        <w:rFonts w:hint="default"/>
      </w:rPr>
    </w:lvl>
    <w:lvl w:ilvl="4">
      <w:start w:val="0"/>
      <w:numFmt w:val="bullet"/>
      <w:lvlText w:val="•"/>
      <w:lvlJc w:val="left"/>
      <w:pPr>
        <w:ind w:left="5592" w:hanging="500"/>
      </w:pPr>
      <w:rPr>
        <w:rFonts w:hint="default"/>
      </w:rPr>
    </w:lvl>
    <w:lvl w:ilvl="5">
      <w:start w:val="0"/>
      <w:numFmt w:val="bullet"/>
      <w:lvlText w:val="•"/>
      <w:lvlJc w:val="left"/>
      <w:pPr>
        <w:ind w:left="6950" w:hanging="500"/>
      </w:pPr>
      <w:rPr>
        <w:rFonts w:hint="default"/>
      </w:rPr>
    </w:lvl>
    <w:lvl w:ilvl="6">
      <w:start w:val="0"/>
      <w:numFmt w:val="bullet"/>
      <w:lvlText w:val="•"/>
      <w:lvlJc w:val="left"/>
      <w:pPr>
        <w:ind w:left="8308" w:hanging="500"/>
      </w:pPr>
      <w:rPr>
        <w:rFonts w:hint="default"/>
      </w:rPr>
    </w:lvl>
    <w:lvl w:ilvl="7">
      <w:start w:val="0"/>
      <w:numFmt w:val="bullet"/>
      <w:lvlText w:val="•"/>
      <w:lvlJc w:val="left"/>
      <w:pPr>
        <w:ind w:left="9666" w:hanging="500"/>
      </w:pPr>
      <w:rPr>
        <w:rFonts w:hint="default"/>
      </w:rPr>
    </w:lvl>
    <w:lvl w:ilvl="8">
      <w:start w:val="0"/>
      <w:numFmt w:val="bullet"/>
      <w:lvlText w:val="•"/>
      <w:lvlJc w:val="left"/>
      <w:pPr>
        <w:ind w:left="11024" w:hanging="500"/>
      </w:pPr>
      <w:rPr>
        <w:rFonts w:hint="default"/>
      </w:rPr>
    </w:lvl>
  </w:abstractNum>
  <w:abstractNum w:abstractNumId="5">
    <w:multiLevelType w:val="hybridMultilevel"/>
    <w:lvl w:ilvl="0">
      <w:start w:val="1"/>
      <w:numFmt w:val="decimal"/>
      <w:lvlText w:val="%1."/>
      <w:lvlJc w:val="left"/>
      <w:pPr>
        <w:ind w:left="160" w:hanging="1000"/>
        <w:jc w:val="left"/>
      </w:pPr>
      <w:rPr>
        <w:rFonts w:hint="default" w:ascii="Arial" w:hAnsi="Arial" w:eastAsia="Arial" w:cs="Arial"/>
        <w:spacing w:val="-1"/>
        <w:w w:val="100"/>
        <w:sz w:val="44"/>
        <w:szCs w:val="44"/>
      </w:rPr>
    </w:lvl>
    <w:lvl w:ilvl="1">
      <w:start w:val="0"/>
      <w:numFmt w:val="bullet"/>
      <w:lvlText w:val="•"/>
      <w:lvlJc w:val="left"/>
      <w:pPr>
        <w:ind w:left="1518" w:hanging="1000"/>
      </w:pPr>
      <w:rPr>
        <w:rFonts w:hint="default"/>
      </w:rPr>
    </w:lvl>
    <w:lvl w:ilvl="2">
      <w:start w:val="0"/>
      <w:numFmt w:val="bullet"/>
      <w:lvlText w:val="•"/>
      <w:lvlJc w:val="left"/>
      <w:pPr>
        <w:ind w:left="2876" w:hanging="1000"/>
      </w:pPr>
      <w:rPr>
        <w:rFonts w:hint="default"/>
      </w:rPr>
    </w:lvl>
    <w:lvl w:ilvl="3">
      <w:start w:val="0"/>
      <w:numFmt w:val="bullet"/>
      <w:lvlText w:val="•"/>
      <w:lvlJc w:val="left"/>
      <w:pPr>
        <w:ind w:left="4234" w:hanging="1000"/>
      </w:pPr>
      <w:rPr>
        <w:rFonts w:hint="default"/>
      </w:rPr>
    </w:lvl>
    <w:lvl w:ilvl="4">
      <w:start w:val="0"/>
      <w:numFmt w:val="bullet"/>
      <w:lvlText w:val="•"/>
      <w:lvlJc w:val="left"/>
      <w:pPr>
        <w:ind w:left="5592" w:hanging="1000"/>
      </w:pPr>
      <w:rPr>
        <w:rFonts w:hint="default"/>
      </w:rPr>
    </w:lvl>
    <w:lvl w:ilvl="5">
      <w:start w:val="0"/>
      <w:numFmt w:val="bullet"/>
      <w:lvlText w:val="•"/>
      <w:lvlJc w:val="left"/>
      <w:pPr>
        <w:ind w:left="6950" w:hanging="1000"/>
      </w:pPr>
      <w:rPr>
        <w:rFonts w:hint="default"/>
      </w:rPr>
    </w:lvl>
    <w:lvl w:ilvl="6">
      <w:start w:val="0"/>
      <w:numFmt w:val="bullet"/>
      <w:lvlText w:val="•"/>
      <w:lvlJc w:val="left"/>
      <w:pPr>
        <w:ind w:left="8308" w:hanging="1000"/>
      </w:pPr>
      <w:rPr>
        <w:rFonts w:hint="default"/>
      </w:rPr>
    </w:lvl>
    <w:lvl w:ilvl="7">
      <w:start w:val="0"/>
      <w:numFmt w:val="bullet"/>
      <w:lvlText w:val="•"/>
      <w:lvlJc w:val="left"/>
      <w:pPr>
        <w:ind w:left="9666" w:hanging="1000"/>
      </w:pPr>
      <w:rPr>
        <w:rFonts w:hint="default"/>
      </w:rPr>
    </w:lvl>
    <w:lvl w:ilvl="8">
      <w:start w:val="0"/>
      <w:numFmt w:val="bullet"/>
      <w:lvlText w:val="•"/>
      <w:lvlJc w:val="left"/>
      <w:pPr>
        <w:ind w:left="11024" w:hanging="1000"/>
      </w:pPr>
      <w:rPr>
        <w:rFonts w:hint="default"/>
      </w:rPr>
    </w:lvl>
  </w:abstractNum>
  <w:abstractNum w:abstractNumId="4">
    <w:multiLevelType w:val="hybridMultilevel"/>
    <w:lvl w:ilvl="0">
      <w:start w:val="1"/>
      <w:numFmt w:val="decimal"/>
      <w:lvlText w:val="%1."/>
      <w:lvlJc w:val="left"/>
      <w:pPr>
        <w:ind w:left="160" w:hanging="500"/>
        <w:jc w:val="left"/>
      </w:pPr>
      <w:rPr>
        <w:rFonts w:hint="default" w:ascii="Arial" w:hAnsi="Arial" w:eastAsia="Arial" w:cs="Arial"/>
        <w:spacing w:val="-1"/>
        <w:w w:val="100"/>
        <w:sz w:val="44"/>
        <w:szCs w:val="44"/>
      </w:rPr>
    </w:lvl>
    <w:lvl w:ilvl="1">
      <w:start w:val="0"/>
      <w:numFmt w:val="bullet"/>
      <w:lvlText w:val="•"/>
      <w:lvlJc w:val="left"/>
      <w:pPr>
        <w:ind w:left="1518" w:hanging="500"/>
      </w:pPr>
      <w:rPr>
        <w:rFonts w:hint="default"/>
      </w:rPr>
    </w:lvl>
    <w:lvl w:ilvl="2">
      <w:start w:val="0"/>
      <w:numFmt w:val="bullet"/>
      <w:lvlText w:val="•"/>
      <w:lvlJc w:val="left"/>
      <w:pPr>
        <w:ind w:left="2876" w:hanging="500"/>
      </w:pPr>
      <w:rPr>
        <w:rFonts w:hint="default"/>
      </w:rPr>
    </w:lvl>
    <w:lvl w:ilvl="3">
      <w:start w:val="0"/>
      <w:numFmt w:val="bullet"/>
      <w:lvlText w:val="•"/>
      <w:lvlJc w:val="left"/>
      <w:pPr>
        <w:ind w:left="4234" w:hanging="500"/>
      </w:pPr>
      <w:rPr>
        <w:rFonts w:hint="default"/>
      </w:rPr>
    </w:lvl>
    <w:lvl w:ilvl="4">
      <w:start w:val="0"/>
      <w:numFmt w:val="bullet"/>
      <w:lvlText w:val="•"/>
      <w:lvlJc w:val="left"/>
      <w:pPr>
        <w:ind w:left="5592" w:hanging="500"/>
      </w:pPr>
      <w:rPr>
        <w:rFonts w:hint="default"/>
      </w:rPr>
    </w:lvl>
    <w:lvl w:ilvl="5">
      <w:start w:val="0"/>
      <w:numFmt w:val="bullet"/>
      <w:lvlText w:val="•"/>
      <w:lvlJc w:val="left"/>
      <w:pPr>
        <w:ind w:left="6950" w:hanging="500"/>
      </w:pPr>
      <w:rPr>
        <w:rFonts w:hint="default"/>
      </w:rPr>
    </w:lvl>
    <w:lvl w:ilvl="6">
      <w:start w:val="0"/>
      <w:numFmt w:val="bullet"/>
      <w:lvlText w:val="•"/>
      <w:lvlJc w:val="left"/>
      <w:pPr>
        <w:ind w:left="8308" w:hanging="500"/>
      </w:pPr>
      <w:rPr>
        <w:rFonts w:hint="default"/>
      </w:rPr>
    </w:lvl>
    <w:lvl w:ilvl="7">
      <w:start w:val="0"/>
      <w:numFmt w:val="bullet"/>
      <w:lvlText w:val="•"/>
      <w:lvlJc w:val="left"/>
      <w:pPr>
        <w:ind w:left="9666" w:hanging="500"/>
      </w:pPr>
      <w:rPr>
        <w:rFonts w:hint="default"/>
      </w:rPr>
    </w:lvl>
    <w:lvl w:ilvl="8">
      <w:start w:val="0"/>
      <w:numFmt w:val="bullet"/>
      <w:lvlText w:val="•"/>
      <w:lvlJc w:val="left"/>
      <w:pPr>
        <w:ind w:left="11024" w:hanging="500"/>
      </w:pPr>
      <w:rPr>
        <w:rFonts w:hint="default"/>
      </w:rPr>
    </w:lvl>
  </w:abstractNum>
  <w:abstractNum w:abstractNumId="3">
    <w:multiLevelType w:val="hybridMultilevel"/>
    <w:lvl w:ilvl="0">
      <w:start w:val="1"/>
      <w:numFmt w:val="decimal"/>
      <w:lvlText w:val="%1."/>
      <w:lvlJc w:val="left"/>
      <w:pPr>
        <w:ind w:left="160" w:hanging="1000"/>
        <w:jc w:val="left"/>
      </w:pPr>
      <w:rPr>
        <w:rFonts w:hint="default" w:ascii="Arial" w:hAnsi="Arial" w:eastAsia="Arial" w:cs="Arial"/>
        <w:spacing w:val="-1"/>
        <w:w w:val="100"/>
        <w:sz w:val="44"/>
        <w:szCs w:val="44"/>
      </w:rPr>
    </w:lvl>
    <w:lvl w:ilvl="1">
      <w:start w:val="0"/>
      <w:numFmt w:val="bullet"/>
      <w:lvlText w:val="•"/>
      <w:lvlJc w:val="left"/>
      <w:pPr>
        <w:ind w:left="1518" w:hanging="1000"/>
      </w:pPr>
      <w:rPr>
        <w:rFonts w:hint="default"/>
      </w:rPr>
    </w:lvl>
    <w:lvl w:ilvl="2">
      <w:start w:val="0"/>
      <w:numFmt w:val="bullet"/>
      <w:lvlText w:val="•"/>
      <w:lvlJc w:val="left"/>
      <w:pPr>
        <w:ind w:left="2876" w:hanging="1000"/>
      </w:pPr>
      <w:rPr>
        <w:rFonts w:hint="default"/>
      </w:rPr>
    </w:lvl>
    <w:lvl w:ilvl="3">
      <w:start w:val="0"/>
      <w:numFmt w:val="bullet"/>
      <w:lvlText w:val="•"/>
      <w:lvlJc w:val="left"/>
      <w:pPr>
        <w:ind w:left="4234" w:hanging="1000"/>
      </w:pPr>
      <w:rPr>
        <w:rFonts w:hint="default"/>
      </w:rPr>
    </w:lvl>
    <w:lvl w:ilvl="4">
      <w:start w:val="0"/>
      <w:numFmt w:val="bullet"/>
      <w:lvlText w:val="•"/>
      <w:lvlJc w:val="left"/>
      <w:pPr>
        <w:ind w:left="5592" w:hanging="1000"/>
      </w:pPr>
      <w:rPr>
        <w:rFonts w:hint="default"/>
      </w:rPr>
    </w:lvl>
    <w:lvl w:ilvl="5">
      <w:start w:val="0"/>
      <w:numFmt w:val="bullet"/>
      <w:lvlText w:val="•"/>
      <w:lvlJc w:val="left"/>
      <w:pPr>
        <w:ind w:left="6950" w:hanging="1000"/>
      </w:pPr>
      <w:rPr>
        <w:rFonts w:hint="default"/>
      </w:rPr>
    </w:lvl>
    <w:lvl w:ilvl="6">
      <w:start w:val="0"/>
      <w:numFmt w:val="bullet"/>
      <w:lvlText w:val="•"/>
      <w:lvlJc w:val="left"/>
      <w:pPr>
        <w:ind w:left="8308" w:hanging="1000"/>
      </w:pPr>
      <w:rPr>
        <w:rFonts w:hint="default"/>
      </w:rPr>
    </w:lvl>
    <w:lvl w:ilvl="7">
      <w:start w:val="0"/>
      <w:numFmt w:val="bullet"/>
      <w:lvlText w:val="•"/>
      <w:lvlJc w:val="left"/>
      <w:pPr>
        <w:ind w:left="9666" w:hanging="1000"/>
      </w:pPr>
      <w:rPr>
        <w:rFonts w:hint="default"/>
      </w:rPr>
    </w:lvl>
    <w:lvl w:ilvl="8">
      <w:start w:val="0"/>
      <w:numFmt w:val="bullet"/>
      <w:lvlText w:val="•"/>
      <w:lvlJc w:val="left"/>
      <w:pPr>
        <w:ind w:left="11024" w:hanging="1000"/>
      </w:pPr>
      <w:rPr>
        <w:rFonts w:hint="default"/>
      </w:rPr>
    </w:lvl>
  </w:abstractNum>
  <w:abstractNum w:abstractNumId="2">
    <w:multiLevelType w:val="hybridMultilevel"/>
    <w:lvl w:ilvl="0">
      <w:start w:val="1"/>
      <w:numFmt w:val="decimal"/>
      <w:lvlText w:val="%1."/>
      <w:lvlJc w:val="left"/>
      <w:pPr>
        <w:ind w:left="160" w:hanging="500"/>
        <w:jc w:val="right"/>
      </w:pPr>
      <w:rPr>
        <w:rFonts w:hint="default"/>
        <w:spacing w:val="-1"/>
        <w:w w:val="100"/>
      </w:rPr>
    </w:lvl>
    <w:lvl w:ilvl="1">
      <w:start w:val="1"/>
      <w:numFmt w:val="decimal"/>
      <w:lvlText w:val="%2."/>
      <w:lvlJc w:val="left"/>
      <w:pPr>
        <w:ind w:left="160" w:hanging="1000"/>
        <w:jc w:val="right"/>
      </w:pPr>
      <w:rPr>
        <w:rFonts w:hint="default" w:ascii="Arial" w:hAnsi="Arial" w:eastAsia="Arial" w:cs="Arial"/>
        <w:spacing w:val="-1"/>
        <w:w w:val="100"/>
        <w:sz w:val="44"/>
        <w:szCs w:val="44"/>
      </w:rPr>
    </w:lvl>
    <w:lvl w:ilvl="2">
      <w:start w:val="0"/>
      <w:numFmt w:val="bullet"/>
      <w:lvlText w:val="•"/>
      <w:lvlJc w:val="left"/>
      <w:pPr>
        <w:ind w:left="2876" w:hanging="1000"/>
      </w:pPr>
      <w:rPr>
        <w:rFonts w:hint="default"/>
      </w:rPr>
    </w:lvl>
    <w:lvl w:ilvl="3">
      <w:start w:val="0"/>
      <w:numFmt w:val="bullet"/>
      <w:lvlText w:val="•"/>
      <w:lvlJc w:val="left"/>
      <w:pPr>
        <w:ind w:left="4234" w:hanging="1000"/>
      </w:pPr>
      <w:rPr>
        <w:rFonts w:hint="default"/>
      </w:rPr>
    </w:lvl>
    <w:lvl w:ilvl="4">
      <w:start w:val="0"/>
      <w:numFmt w:val="bullet"/>
      <w:lvlText w:val="•"/>
      <w:lvlJc w:val="left"/>
      <w:pPr>
        <w:ind w:left="5592" w:hanging="1000"/>
      </w:pPr>
      <w:rPr>
        <w:rFonts w:hint="default"/>
      </w:rPr>
    </w:lvl>
    <w:lvl w:ilvl="5">
      <w:start w:val="0"/>
      <w:numFmt w:val="bullet"/>
      <w:lvlText w:val="•"/>
      <w:lvlJc w:val="left"/>
      <w:pPr>
        <w:ind w:left="6950" w:hanging="1000"/>
      </w:pPr>
      <w:rPr>
        <w:rFonts w:hint="default"/>
      </w:rPr>
    </w:lvl>
    <w:lvl w:ilvl="6">
      <w:start w:val="0"/>
      <w:numFmt w:val="bullet"/>
      <w:lvlText w:val="•"/>
      <w:lvlJc w:val="left"/>
      <w:pPr>
        <w:ind w:left="8308" w:hanging="1000"/>
      </w:pPr>
      <w:rPr>
        <w:rFonts w:hint="default"/>
      </w:rPr>
    </w:lvl>
    <w:lvl w:ilvl="7">
      <w:start w:val="0"/>
      <w:numFmt w:val="bullet"/>
      <w:lvlText w:val="•"/>
      <w:lvlJc w:val="left"/>
      <w:pPr>
        <w:ind w:left="9666" w:hanging="1000"/>
      </w:pPr>
      <w:rPr>
        <w:rFonts w:hint="default"/>
      </w:rPr>
    </w:lvl>
    <w:lvl w:ilvl="8">
      <w:start w:val="0"/>
      <w:numFmt w:val="bullet"/>
      <w:lvlText w:val="•"/>
      <w:lvlJc w:val="left"/>
      <w:pPr>
        <w:ind w:left="11024" w:hanging="1000"/>
      </w:pPr>
      <w:rPr>
        <w:rFonts w:hint="default"/>
      </w:rPr>
    </w:lvl>
  </w:abstractNum>
  <w:abstractNum w:abstractNumId="1">
    <w:multiLevelType w:val="hybridMultilevel"/>
    <w:lvl w:ilvl="0">
      <w:start w:val="1"/>
      <w:numFmt w:val="decimal"/>
      <w:lvlText w:val="%1."/>
      <w:lvlJc w:val="left"/>
      <w:pPr>
        <w:ind w:left="160" w:hanging="500"/>
        <w:jc w:val="left"/>
      </w:pPr>
      <w:rPr>
        <w:rFonts w:hint="default" w:ascii="Arial" w:hAnsi="Arial" w:eastAsia="Arial" w:cs="Arial"/>
        <w:spacing w:val="-1"/>
        <w:w w:val="100"/>
        <w:sz w:val="44"/>
        <w:szCs w:val="44"/>
      </w:rPr>
    </w:lvl>
    <w:lvl w:ilvl="1">
      <w:start w:val="0"/>
      <w:numFmt w:val="bullet"/>
      <w:lvlText w:val="•"/>
      <w:lvlJc w:val="left"/>
      <w:pPr>
        <w:ind w:left="1518" w:hanging="500"/>
      </w:pPr>
      <w:rPr>
        <w:rFonts w:hint="default"/>
      </w:rPr>
    </w:lvl>
    <w:lvl w:ilvl="2">
      <w:start w:val="0"/>
      <w:numFmt w:val="bullet"/>
      <w:lvlText w:val="•"/>
      <w:lvlJc w:val="left"/>
      <w:pPr>
        <w:ind w:left="2876" w:hanging="500"/>
      </w:pPr>
      <w:rPr>
        <w:rFonts w:hint="default"/>
      </w:rPr>
    </w:lvl>
    <w:lvl w:ilvl="3">
      <w:start w:val="0"/>
      <w:numFmt w:val="bullet"/>
      <w:lvlText w:val="•"/>
      <w:lvlJc w:val="left"/>
      <w:pPr>
        <w:ind w:left="4234" w:hanging="500"/>
      </w:pPr>
      <w:rPr>
        <w:rFonts w:hint="default"/>
      </w:rPr>
    </w:lvl>
    <w:lvl w:ilvl="4">
      <w:start w:val="0"/>
      <w:numFmt w:val="bullet"/>
      <w:lvlText w:val="•"/>
      <w:lvlJc w:val="left"/>
      <w:pPr>
        <w:ind w:left="5592" w:hanging="500"/>
      </w:pPr>
      <w:rPr>
        <w:rFonts w:hint="default"/>
      </w:rPr>
    </w:lvl>
    <w:lvl w:ilvl="5">
      <w:start w:val="0"/>
      <w:numFmt w:val="bullet"/>
      <w:lvlText w:val="•"/>
      <w:lvlJc w:val="left"/>
      <w:pPr>
        <w:ind w:left="6950" w:hanging="500"/>
      </w:pPr>
      <w:rPr>
        <w:rFonts w:hint="default"/>
      </w:rPr>
    </w:lvl>
    <w:lvl w:ilvl="6">
      <w:start w:val="0"/>
      <w:numFmt w:val="bullet"/>
      <w:lvlText w:val="•"/>
      <w:lvlJc w:val="left"/>
      <w:pPr>
        <w:ind w:left="8308" w:hanging="500"/>
      </w:pPr>
      <w:rPr>
        <w:rFonts w:hint="default"/>
      </w:rPr>
    </w:lvl>
    <w:lvl w:ilvl="7">
      <w:start w:val="0"/>
      <w:numFmt w:val="bullet"/>
      <w:lvlText w:val="•"/>
      <w:lvlJc w:val="left"/>
      <w:pPr>
        <w:ind w:left="9666" w:hanging="500"/>
      </w:pPr>
      <w:rPr>
        <w:rFonts w:hint="default"/>
      </w:rPr>
    </w:lvl>
    <w:lvl w:ilvl="8">
      <w:start w:val="0"/>
      <w:numFmt w:val="bullet"/>
      <w:lvlText w:val="•"/>
      <w:lvlJc w:val="left"/>
      <w:pPr>
        <w:ind w:left="11024" w:hanging="500"/>
      </w:pPr>
      <w:rPr>
        <w:rFonts w:hint="default"/>
      </w:rPr>
    </w:lvl>
  </w:abstractNum>
  <w:abstractNum w:abstractNumId="0">
    <w:multiLevelType w:val="hybridMultilevel"/>
    <w:lvl w:ilvl="0">
      <w:start w:val="1"/>
      <w:numFmt w:val="decimal"/>
      <w:lvlText w:val="%1."/>
      <w:lvlJc w:val="left"/>
      <w:pPr>
        <w:ind w:left="160" w:hanging="500"/>
        <w:jc w:val="left"/>
      </w:pPr>
      <w:rPr>
        <w:rFonts w:hint="default" w:ascii="Arial" w:hAnsi="Arial" w:eastAsia="Arial" w:cs="Arial"/>
        <w:spacing w:val="-1"/>
        <w:w w:val="100"/>
        <w:sz w:val="44"/>
        <w:szCs w:val="44"/>
      </w:rPr>
    </w:lvl>
    <w:lvl w:ilvl="1">
      <w:start w:val="0"/>
      <w:numFmt w:val="bullet"/>
      <w:lvlText w:val="•"/>
      <w:lvlJc w:val="left"/>
      <w:pPr>
        <w:ind w:left="1518" w:hanging="500"/>
      </w:pPr>
      <w:rPr>
        <w:rFonts w:hint="default"/>
      </w:rPr>
    </w:lvl>
    <w:lvl w:ilvl="2">
      <w:start w:val="0"/>
      <w:numFmt w:val="bullet"/>
      <w:lvlText w:val="•"/>
      <w:lvlJc w:val="left"/>
      <w:pPr>
        <w:ind w:left="2876" w:hanging="500"/>
      </w:pPr>
      <w:rPr>
        <w:rFonts w:hint="default"/>
      </w:rPr>
    </w:lvl>
    <w:lvl w:ilvl="3">
      <w:start w:val="0"/>
      <w:numFmt w:val="bullet"/>
      <w:lvlText w:val="•"/>
      <w:lvlJc w:val="left"/>
      <w:pPr>
        <w:ind w:left="4234" w:hanging="500"/>
      </w:pPr>
      <w:rPr>
        <w:rFonts w:hint="default"/>
      </w:rPr>
    </w:lvl>
    <w:lvl w:ilvl="4">
      <w:start w:val="0"/>
      <w:numFmt w:val="bullet"/>
      <w:lvlText w:val="•"/>
      <w:lvlJc w:val="left"/>
      <w:pPr>
        <w:ind w:left="5592" w:hanging="500"/>
      </w:pPr>
      <w:rPr>
        <w:rFonts w:hint="default"/>
      </w:rPr>
    </w:lvl>
    <w:lvl w:ilvl="5">
      <w:start w:val="0"/>
      <w:numFmt w:val="bullet"/>
      <w:lvlText w:val="•"/>
      <w:lvlJc w:val="left"/>
      <w:pPr>
        <w:ind w:left="6950" w:hanging="500"/>
      </w:pPr>
      <w:rPr>
        <w:rFonts w:hint="default"/>
      </w:rPr>
    </w:lvl>
    <w:lvl w:ilvl="6">
      <w:start w:val="0"/>
      <w:numFmt w:val="bullet"/>
      <w:lvlText w:val="•"/>
      <w:lvlJc w:val="left"/>
      <w:pPr>
        <w:ind w:left="8308" w:hanging="500"/>
      </w:pPr>
      <w:rPr>
        <w:rFonts w:hint="default"/>
      </w:rPr>
    </w:lvl>
    <w:lvl w:ilvl="7">
      <w:start w:val="0"/>
      <w:numFmt w:val="bullet"/>
      <w:lvlText w:val="•"/>
      <w:lvlJc w:val="left"/>
      <w:pPr>
        <w:ind w:left="9666" w:hanging="500"/>
      </w:pPr>
      <w:rPr>
        <w:rFonts w:hint="default"/>
      </w:rPr>
    </w:lvl>
    <w:lvl w:ilvl="8">
      <w:start w:val="0"/>
      <w:numFmt w:val="bullet"/>
      <w:lvlText w:val="•"/>
      <w:lvlJc w:val="left"/>
      <w:pPr>
        <w:ind w:left="11024" w:hanging="500"/>
      </w:pPr>
      <w:rPr>
        <w:rFonts w:hint="default"/>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rPr>
  </w:style>
  <w:style w:styleId="BodyText" w:type="paragraph">
    <w:name w:val="Body Text"/>
    <w:basedOn w:val="Normal"/>
    <w:uiPriority w:val="1"/>
    <w:qFormat/>
    <w:pPr>
      <w:ind w:left="160"/>
    </w:pPr>
    <w:rPr>
      <w:rFonts w:ascii="宋体" w:hAnsi="宋体" w:eastAsia="宋体" w:cs="宋体"/>
      <w:sz w:val="44"/>
      <w:szCs w:val="44"/>
    </w:rPr>
  </w:style>
  <w:style w:styleId="Heading1" w:type="paragraph">
    <w:name w:val="Heading 1"/>
    <w:basedOn w:val="Normal"/>
    <w:uiPriority w:val="1"/>
    <w:qFormat/>
    <w:pPr>
      <w:spacing w:before="10"/>
      <w:ind w:left="2240"/>
      <w:outlineLvl w:val="1"/>
    </w:pPr>
    <w:rPr>
      <w:rFonts w:ascii="宋体" w:hAnsi="宋体" w:eastAsia="宋体" w:cs="宋体"/>
      <w:sz w:val="64"/>
      <w:szCs w:val="64"/>
    </w:rPr>
  </w:style>
  <w:style w:styleId="Heading2" w:type="paragraph">
    <w:name w:val="Heading 2"/>
    <w:basedOn w:val="Normal"/>
    <w:uiPriority w:val="1"/>
    <w:qFormat/>
    <w:pPr>
      <w:ind w:left="50"/>
      <w:outlineLvl w:val="2"/>
    </w:pPr>
    <w:rPr>
      <w:rFonts w:ascii="宋体" w:hAnsi="宋体" w:eastAsia="宋体" w:cs="宋体"/>
      <w:sz w:val="54"/>
      <w:szCs w:val="54"/>
    </w:rPr>
  </w:style>
  <w:style w:styleId="ListParagraph" w:type="paragraph">
    <w:name w:val="List Paragraph"/>
    <w:basedOn w:val="Normal"/>
    <w:uiPriority w:val="1"/>
    <w:qFormat/>
    <w:pPr>
      <w:spacing w:before="396"/>
      <w:ind w:left="160" w:firstLine="1160"/>
    </w:pPr>
    <w:rPr>
      <w:rFonts w:ascii="宋体" w:hAnsi="宋体" w:eastAsia="宋体" w:cs="宋体"/>
    </w:rPr>
  </w:style>
  <w:style w:styleId="TableParagraph" w:type="paragraph">
    <w:name w:val="Table Paragraph"/>
    <w:basedOn w:val="Normal"/>
    <w:uiPriority w:val="1"/>
    <w:qFormat/>
    <w:pPr/>
    <w:rPr>
      <w:rFonts w:ascii="宋体" w:hAnsi="宋体" w:eastAsia="宋体" w:cs="宋体"/>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footer" Target="footer2.xml"/><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bingdian001.com</dc:creator>
  <cp:keywords>bingdian001.com</cp:keywords>
  <dc:subject>bingdian001.com</dc:subject>
  <dc:title>bingdian001.com</dc:title>
  <dcterms:created xsi:type="dcterms:W3CDTF">2020-08-05T08:24:58Z</dcterms:created>
  <dcterms:modified xsi:type="dcterms:W3CDTF">2020-08-05T08:24:58Z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2020-08-05T00:00:00Z</vt:filetime>
  </property>
  <property fmtid="{D5CDD505-2E9C-101B-9397-08002B2CF9AE}" pid="3" name="Creator">
    <vt:lpwstr>bingdian001.com</vt:lpwstr>
  </property>
  <property fmtid="{D5CDD505-2E9C-101B-9397-08002B2CF9AE}" pid="4" name="LastSaved">
    <vt:filetime>2020-08-05T00:00:00Z</vt:filetime>
  </property>
</Properties>
</file>